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Lines/>
        <w:tabs>
          <w:tab w:val="right" w:pos="10440"/>
          <w:tab w:val="right" w:pos="13323"/>
          <w:tab w:val="clear" w:pos="4536"/>
          <w:tab w:val="clear" w:pos="9072"/>
        </w:tabs>
        <w:spacing w:before="0" w:after="0" w:line="240" w:lineRule="auto"/>
        <w:rPr>
          <w:rFonts w:hint="default" w:ascii="Arial" w:hAnsi="Arial" w:eastAsia="MS Mincho" w:cs="Arial"/>
          <w:b/>
          <w:i w:val="0"/>
          <w:sz w:val="24"/>
          <w:lang w:val="en-US" w:eastAsia="zh-CN"/>
        </w:rPr>
      </w:pPr>
      <w:r>
        <w:rPr>
          <w:rFonts w:hint="default" w:ascii="Arial" w:hAnsi="Arial" w:cs="Arial"/>
          <w:b/>
          <w:sz w:val="24"/>
          <w:lang w:val="en-US"/>
        </w:rPr>
        <w:t xml:space="preserve">3GPP TSG-RAN WG4 </w:t>
      </w:r>
      <w:r>
        <w:rPr>
          <w:rFonts w:ascii="Arial" w:hAnsi="Arial" w:cs="Arial"/>
          <w:b/>
          <w:sz w:val="24"/>
          <w:szCs w:val="24"/>
        </w:rPr>
        <w:t>Meeting #</w:t>
      </w:r>
      <w:r>
        <w:rPr>
          <w:rFonts w:ascii="Arial" w:hAnsi="Arial" w:cs="Arial"/>
        </w:rPr>
        <w:t xml:space="preserve"> </w:t>
      </w:r>
      <w:r>
        <w:rPr>
          <w:rFonts w:ascii="Arial" w:hAnsi="Arial" w:cs="Arial"/>
          <w:b/>
          <w:sz w:val="24"/>
          <w:szCs w:val="24"/>
        </w:rPr>
        <w:t>105</w:t>
      </w:r>
      <w:r>
        <w:rPr>
          <w:rFonts w:hint="eastAsia" w:eastAsia="宋体" w:cs="Arial"/>
          <w:b/>
          <w:sz w:val="24"/>
          <w:szCs w:val="24"/>
          <w:lang w:val="en-US" w:eastAsia="zh-CN"/>
        </w:rPr>
        <w:t xml:space="preserve">                            </w:t>
      </w:r>
      <w:r>
        <w:rPr>
          <w:rFonts w:hint="default" w:ascii="Arial" w:hAnsi="Arial" w:cs="Arial"/>
          <w:b/>
          <w:sz w:val="24"/>
          <w:lang w:val="en-US" w:eastAsia="zh-CN"/>
        </w:rPr>
        <w:t>R4-2218595</w:t>
      </w:r>
    </w:p>
    <w:p>
      <w:pPr>
        <w:pStyle w:val="14"/>
        <w:keepLines/>
        <w:tabs>
          <w:tab w:val="right" w:pos="10440"/>
          <w:tab w:val="right" w:pos="13323"/>
          <w:tab w:val="clear" w:pos="4536"/>
          <w:tab w:val="clear" w:pos="9072"/>
        </w:tabs>
        <w:spacing w:before="0" w:after="0" w:line="240" w:lineRule="auto"/>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p>
      <w:pPr>
        <w:pStyle w:val="14"/>
        <w:keepLines/>
        <w:tabs>
          <w:tab w:val="right" w:pos="10440"/>
          <w:tab w:val="right" w:pos="13323"/>
          <w:tab w:val="clear" w:pos="4536"/>
          <w:tab w:val="clear" w:pos="9072"/>
        </w:tabs>
        <w:spacing w:before="60" w:after="60" w:line="240" w:lineRule="auto"/>
        <w:rPr>
          <w:rFonts w:ascii="Arial" w:hAnsi="Arial" w:eastAsia="宋体" w:cs="Arial"/>
          <w:b/>
          <w:sz w:val="24"/>
          <w:szCs w:val="24"/>
          <w:lang w:val="en-US" w:eastAsia="zh-CN"/>
        </w:rPr>
      </w:pPr>
    </w:p>
    <w:p>
      <w:pPr>
        <w:pStyle w:val="14"/>
        <w:keepLines/>
        <w:tabs>
          <w:tab w:val="right" w:pos="10440"/>
          <w:tab w:val="right" w:pos="13323"/>
          <w:tab w:val="clear" w:pos="4536"/>
          <w:tab w:val="clear" w:pos="9072"/>
        </w:tabs>
        <w:spacing w:before="60" w:after="60" w:line="240" w:lineRule="auto"/>
        <w:ind w:left="0" w:firstLine="0"/>
        <w:jc w:val="left"/>
        <w:outlineLvl w:val="9"/>
        <w:rPr>
          <w:rFonts w:eastAsia="MS Mincho"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p>
    <w:p>
      <w:pPr>
        <w:pStyle w:val="14"/>
        <w:keepLines/>
        <w:tabs>
          <w:tab w:val="right" w:pos="10440"/>
          <w:tab w:val="right" w:pos="13323"/>
          <w:tab w:val="clear" w:pos="4536"/>
          <w:tab w:val="clear" w:pos="9072"/>
        </w:tabs>
        <w:spacing w:before="60" w:after="60" w:line="240" w:lineRule="auto"/>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 FR2 UL 256</w:t>
      </w:r>
      <w:r>
        <w:rPr>
          <w:rFonts w:hint="eastAsia" w:cs="Arial"/>
          <w:b/>
          <w:sz w:val="24"/>
          <w:lang w:val="en-US" w:eastAsia="zh-CN"/>
        </w:rPr>
        <w:t>QAM</w:t>
      </w:r>
    </w:p>
    <w:p>
      <w:pPr>
        <w:pStyle w:val="14"/>
        <w:keepLines/>
        <w:tabs>
          <w:tab w:val="right" w:pos="10440"/>
          <w:tab w:val="right" w:pos="13323"/>
          <w:tab w:val="clear" w:pos="4536"/>
          <w:tab w:val="clear" w:pos="9072"/>
        </w:tabs>
        <w:spacing w:before="60" w:after="60" w:line="240" w:lineRule="auto"/>
        <w:jc w:val="left"/>
        <w:outlineLvl w:val="9"/>
        <w:rPr>
          <w:rFonts w:eastAsia="MS Mincho" w:cs="Arial"/>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cs="Arial"/>
          <w:sz w:val="24"/>
          <w:lang w:val="en-US" w:eastAsia="zh-CN"/>
        </w:rPr>
        <w:t>8</w:t>
      </w:r>
      <w:r>
        <w:rPr>
          <w:rFonts w:hint="default" w:eastAsia="MS Mincho" w:cs="Arial"/>
          <w:sz w:val="24"/>
          <w:lang w:val="en-US" w:eastAsia="zh-CN"/>
        </w:rPr>
        <w:t>.7.2</w:t>
      </w:r>
    </w:p>
    <w:p>
      <w:pPr>
        <w:pStyle w:val="14"/>
        <w:keepLines/>
        <w:tabs>
          <w:tab w:val="right" w:pos="10440"/>
          <w:tab w:val="right" w:pos="13323"/>
          <w:tab w:val="clear" w:pos="4536"/>
          <w:tab w:val="clear" w:pos="9072"/>
        </w:tabs>
        <w:snapToGrid/>
        <w:spacing w:before="60" w:after="60" w:line="240" w:lineRule="auto"/>
        <w:jc w:val="left"/>
        <w:outlineLvl w:val="9"/>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default" w:cs="Arial"/>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rPr>
          <w:rFonts w:hint="eastAsia"/>
          <w:lang w:val="en-US" w:eastAsia="zh-CN"/>
        </w:rPr>
      </w:pPr>
      <w:r>
        <w:rPr>
          <w:rFonts w:hint="eastAsia"/>
          <w:lang w:val="en-US" w:eastAsia="zh-CN"/>
        </w:rPr>
        <w:t xml:space="preserve">In RAN 96 meeting, a new WID </w:t>
      </w:r>
      <w:r>
        <w:rPr>
          <w:rFonts w:hint="eastAsia"/>
          <w:vertAlign w:val="superscript"/>
          <w:lang w:val="en-US" w:eastAsia="zh-CN"/>
        </w:rPr>
        <w:t>[1]</w:t>
      </w:r>
      <w:r>
        <w:rPr>
          <w:rFonts w:hint="eastAsia"/>
          <w:lang w:val="en-US" w:eastAsia="zh-CN"/>
        </w:rPr>
        <w:t xml:space="preserve"> for NR RF requirements enhancement for frequency range 2 (FR2), Phase 3 was approved, where for FR2 UL 256QAM, the objections are:</w:t>
      </w:r>
    </w:p>
    <w:p>
      <w:pPr>
        <w:spacing w:after="0"/>
        <w:rPr>
          <w:i/>
          <w:iCs/>
          <w:lang w:val="en-US"/>
        </w:rPr>
      </w:pPr>
      <w:r>
        <w:rPr>
          <w:rFonts w:hint="eastAsia"/>
          <w:b/>
          <w:bCs/>
          <w:i/>
          <w:iCs/>
          <w:lang w:val="en-US"/>
        </w:rPr>
        <w:t>UL 256QAM</w:t>
      </w:r>
    </w:p>
    <w:p>
      <w:pPr>
        <w:numPr>
          <w:ilvl w:val="0"/>
          <w:numId w:val="4"/>
        </w:numPr>
        <w:spacing w:after="0"/>
        <w:rPr>
          <w:i/>
          <w:iCs/>
          <w:lang w:val="en-US"/>
        </w:rPr>
      </w:pPr>
      <w:r>
        <w:rPr>
          <w:rFonts w:hint="eastAsia"/>
          <w:i/>
          <w:iCs/>
          <w:lang w:val="en-US"/>
        </w:rPr>
        <w:t>Investigate and enable UL 256QAM for FR2</w:t>
      </w:r>
      <w:r>
        <w:rPr>
          <w:i/>
          <w:iCs/>
          <w:lang w:val="en-US"/>
        </w:rPr>
        <w:t>-1</w:t>
      </w:r>
      <w:r>
        <w:rPr>
          <w:rFonts w:hint="eastAsia"/>
          <w:i/>
          <w:iCs/>
          <w:lang w:val="en-US"/>
        </w:rPr>
        <w:t xml:space="preserve"> </w:t>
      </w:r>
      <w:r>
        <w:rPr>
          <w:i/>
          <w:iCs/>
          <w:lang w:val="en-US"/>
        </w:rPr>
        <w:t>[</w:t>
      </w:r>
      <w:r>
        <w:rPr>
          <w:rFonts w:hint="eastAsia"/>
          <w:i/>
          <w:iCs/>
          <w:lang w:val="en-US"/>
        </w:rPr>
        <w:t>RAN4</w:t>
      </w:r>
      <w:r>
        <w:rPr>
          <w:i/>
          <w:iCs/>
          <w:lang w:val="en-US"/>
        </w:rPr>
        <w:t>]</w:t>
      </w:r>
    </w:p>
    <w:p>
      <w:pPr>
        <w:numPr>
          <w:ilvl w:val="1"/>
          <w:numId w:val="4"/>
        </w:numPr>
        <w:spacing w:after="0"/>
        <w:rPr>
          <w:i/>
          <w:iCs/>
          <w:lang w:val="en-US"/>
        </w:rPr>
      </w:pPr>
      <w:r>
        <w:rPr>
          <w:rFonts w:hint="eastAsia"/>
          <w:i/>
          <w:iCs/>
          <w:lang w:val="en-US"/>
        </w:rPr>
        <w:t>Study the gain, operating SNR, phase noise model and implementation aspects</w:t>
      </w:r>
    </w:p>
    <w:p>
      <w:pPr>
        <w:numPr>
          <w:ilvl w:val="1"/>
          <w:numId w:val="4"/>
        </w:numPr>
        <w:spacing w:after="0"/>
        <w:rPr>
          <w:i/>
          <w:iCs/>
          <w:lang w:val="en-US"/>
        </w:rPr>
      </w:pPr>
      <w:r>
        <w:rPr>
          <w:rFonts w:hint="eastAsia"/>
          <w:i/>
          <w:iCs/>
          <w:lang w:val="en-US"/>
        </w:rPr>
        <w:t>Specify the UE RF requirements</w:t>
      </w:r>
    </w:p>
    <w:p>
      <w:pPr>
        <w:numPr>
          <w:ilvl w:val="1"/>
          <w:numId w:val="4"/>
        </w:numPr>
        <w:spacing w:after="0"/>
        <w:rPr>
          <w:i/>
          <w:iCs/>
          <w:lang w:val="en-US"/>
        </w:rPr>
      </w:pPr>
      <w:r>
        <w:rPr>
          <w:i/>
          <w:iCs/>
          <w:lang w:val="en-US"/>
        </w:rPr>
        <w:t xml:space="preserve">First priority: </w:t>
      </w:r>
      <w:r>
        <w:rPr>
          <w:rFonts w:hint="eastAsia"/>
          <w:i/>
          <w:iCs/>
          <w:lang w:val="en-US"/>
        </w:rPr>
        <w:t>Targeted power classes are PC1</w:t>
      </w:r>
      <w:r>
        <w:rPr>
          <w:i/>
          <w:iCs/>
          <w:lang w:val="en-US"/>
        </w:rPr>
        <w:t>, PC2</w:t>
      </w:r>
      <w:r>
        <w:rPr>
          <w:rFonts w:hint="eastAsia"/>
          <w:i/>
          <w:iCs/>
          <w:lang w:val="en-US"/>
        </w:rPr>
        <w:t xml:space="preserve"> and PC5 </w:t>
      </w:r>
    </w:p>
    <w:p>
      <w:pPr>
        <w:numPr>
          <w:ilvl w:val="1"/>
          <w:numId w:val="4"/>
        </w:numPr>
        <w:spacing w:after="0"/>
        <w:rPr>
          <w:i/>
          <w:iCs/>
          <w:lang w:val="en-US"/>
        </w:rPr>
      </w:pPr>
      <w:r>
        <w:rPr>
          <w:i/>
          <w:iCs/>
          <w:lang w:val="en-US"/>
        </w:rPr>
        <w:t xml:space="preserve">Second priority: </w:t>
      </w:r>
      <w:r>
        <w:rPr>
          <w:rFonts w:hint="eastAsia"/>
          <w:i/>
          <w:iCs/>
          <w:lang w:val="en-US"/>
        </w:rPr>
        <w:t xml:space="preserve">Targeted power class </w:t>
      </w:r>
      <w:r>
        <w:rPr>
          <w:i/>
          <w:iCs/>
          <w:lang w:val="en-US"/>
        </w:rPr>
        <w:t>is</w:t>
      </w:r>
      <w:r>
        <w:rPr>
          <w:rFonts w:hint="eastAsia"/>
          <w:i/>
          <w:iCs/>
          <w:lang w:val="en-US"/>
        </w:rPr>
        <w:t xml:space="preserve"> PC</w:t>
      </w:r>
      <w:r>
        <w:rPr>
          <w:i/>
          <w:iCs/>
          <w:lang w:val="en-US"/>
        </w:rPr>
        <w:t>3</w:t>
      </w:r>
      <w:r>
        <w:rPr>
          <w:rFonts w:hint="eastAsia"/>
          <w:i/>
          <w:iCs/>
          <w:lang w:val="en-US"/>
        </w:rPr>
        <w:t xml:space="preserve"> </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bidi="hi-IN"/>
        </w:rPr>
      </w:pPr>
      <w:r>
        <w:rPr>
          <w:rFonts w:hint="eastAsia" w:eastAsia="宋体" w:cs="Times New Roman"/>
          <w:szCs w:val="20"/>
          <w:lang w:val="en-US" w:eastAsia="zh-CN" w:bidi="ar-SA"/>
        </w:rPr>
        <w:t>In last RAN4 meeting, some link level simulation results were provided by companies. During the discussion, companies achieved the agreements below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14" w:type="dxa"/>
          </w:tcPr>
          <w:p>
            <w:pPr>
              <w:pStyle w:val="29"/>
              <w:numPr>
                <w:ilvl w:val="-1"/>
                <w:numId w:val="0"/>
              </w:numPr>
              <w:adjustRightInd w:val="0"/>
              <w:snapToGrid w:val="0"/>
              <w:spacing w:after="120" w:line="240" w:lineRule="auto"/>
              <w:ind w:left="0" w:leftChars="0" w:firstLine="0" w:firstLineChars="0"/>
              <w:rPr>
                <w:rFonts w:ascii="Times New Roman" w:hAnsi="Times New Roman" w:cs="Times New Roman"/>
                <w:b/>
                <w:sz w:val="20"/>
                <w:szCs w:val="20"/>
                <w:u w:val="single"/>
                <w:lang w:eastAsia="ko-KR"/>
              </w:rPr>
            </w:pPr>
            <w:r>
              <w:rPr>
                <w:rFonts w:ascii="Times New Roman" w:hAnsi="Times New Roman" w:cs="Times New Roman"/>
                <w:b/>
                <w:sz w:val="20"/>
                <w:szCs w:val="20"/>
                <w:u w:val="single"/>
                <w:lang w:eastAsia="ko-KR"/>
              </w:rPr>
              <w:t>Issue 2-1-1: EVM requirement for 29GHz</w:t>
            </w:r>
          </w:p>
          <w:p>
            <w:pPr>
              <w:pStyle w:val="29"/>
              <w:numPr>
                <w:ilvl w:val="-1"/>
                <w:numId w:val="0"/>
              </w:numPr>
              <w:adjustRightInd w:val="0"/>
              <w:snapToGrid w:val="0"/>
              <w:spacing w:after="120" w:line="240" w:lineRule="auto"/>
              <w:ind w:left="0" w:leftChars="0" w:firstLine="0" w:firstLineChars="0"/>
              <w:rPr>
                <w:rFonts w:ascii="Times New Roman" w:hAnsi="Times New Roman" w:cs="Times New Roman"/>
                <w:b/>
                <w:sz w:val="20"/>
                <w:szCs w:val="20"/>
                <w:lang w:eastAsia="zh-CN"/>
              </w:rPr>
            </w:pPr>
            <w:r>
              <w:rPr>
                <w:rFonts w:hint="default" w:ascii="Times New Roman" w:hAnsi="Times New Roman" w:cs="Times New Roman"/>
                <w:b/>
                <w:sz w:val="20"/>
                <w:szCs w:val="20"/>
                <w:lang w:eastAsia="zh-CN"/>
              </w:rPr>
              <w:t>A</w:t>
            </w:r>
            <w:r>
              <w:rPr>
                <w:rFonts w:ascii="Times New Roman" w:hAnsi="Times New Roman" w:cs="Times New Roman"/>
                <w:b/>
                <w:sz w:val="20"/>
                <w:szCs w:val="20"/>
                <w:lang w:eastAsia="zh-CN"/>
              </w:rPr>
              <w:t>greement:</w:t>
            </w:r>
          </w:p>
          <w:p>
            <w:pPr>
              <w:pStyle w:val="29"/>
              <w:numPr>
                <w:ilvl w:val="0"/>
                <w:numId w:val="5"/>
              </w:numPr>
              <w:adjustRightInd w:val="0"/>
              <w:snapToGrid w:val="0"/>
              <w:spacing w:after="120" w:line="240" w:lineRule="auto"/>
              <w:ind w:left="284"/>
              <w:rPr>
                <w:rFonts w:ascii="Times New Roman" w:hAnsi="Times New Roman" w:cs="Times New Roman"/>
                <w:sz w:val="20"/>
                <w:szCs w:val="20"/>
                <w:lang w:eastAsia="zh-CN"/>
              </w:rPr>
            </w:pPr>
            <w:r>
              <w:rPr>
                <w:rFonts w:ascii="Times New Roman" w:hAnsi="Times New Roman" w:cs="Times New Roman"/>
                <w:sz w:val="20"/>
                <w:szCs w:val="20"/>
                <w:lang w:eastAsia="zh-CN"/>
              </w:rPr>
              <w:t xml:space="preserve">3.5% EVM for 29GHz, </w:t>
            </w:r>
            <w:bookmarkStart w:id="0" w:name="OLE_LINK2"/>
            <w:r>
              <w:rPr>
                <w:rFonts w:ascii="Times New Roman" w:hAnsi="Times New Roman" w:cs="Times New Roman"/>
                <w:sz w:val="20"/>
                <w:szCs w:val="20"/>
                <w:lang w:eastAsia="zh-CN"/>
              </w:rPr>
              <w:t>FFS for operating SNR</w:t>
            </w:r>
            <w:bookmarkEnd w:id="0"/>
            <w:r>
              <w:rPr>
                <w:rFonts w:ascii="Times New Roman" w:hAnsi="Times New Roman" w:cs="Times New Roman"/>
                <w:sz w:val="20"/>
                <w:szCs w:val="20"/>
                <w:lang w:eastAsia="zh-CN"/>
              </w:rPr>
              <w:t>.</w:t>
            </w:r>
          </w:p>
          <w:p>
            <w:pPr>
              <w:pStyle w:val="29"/>
              <w:numPr>
                <w:ilvl w:val="0"/>
                <w:numId w:val="5"/>
              </w:numPr>
              <w:adjustRightInd w:val="0"/>
              <w:snapToGrid w:val="0"/>
              <w:spacing w:line="240" w:lineRule="auto"/>
              <w:ind w:left="284"/>
              <w:rPr>
                <w:rFonts w:hint="default" w:ascii="Times New Roman" w:hAnsi="Times New Roman" w:cs="Times New Roman"/>
                <w:sz w:val="20"/>
                <w:szCs w:val="20"/>
                <w:lang w:eastAsia="zh-CN"/>
              </w:rPr>
            </w:pPr>
            <w:r>
              <w:rPr>
                <w:rFonts w:ascii="Times New Roman" w:hAnsi="Times New Roman" w:cs="Times New Roman"/>
                <w:sz w:val="20"/>
                <w:szCs w:val="20"/>
                <w:lang w:eastAsia="zh-CN"/>
              </w:rPr>
              <w:t>The target power class is PC1, PC2, and PC5.</w:t>
            </w:r>
          </w:p>
          <w:p>
            <w:pPr>
              <w:pStyle w:val="29"/>
              <w:numPr>
                <w:ilvl w:val="-1"/>
                <w:numId w:val="0"/>
              </w:numPr>
              <w:adjustRightInd w:val="0"/>
              <w:snapToGrid w:val="0"/>
              <w:spacing w:after="120" w:line="240" w:lineRule="auto"/>
              <w:ind w:left="0" w:leftChars="0" w:firstLine="0" w:firstLineChars="0"/>
              <w:rPr>
                <w:rFonts w:ascii="Times New Roman" w:hAnsi="Times New Roman" w:cs="Times New Roman"/>
                <w:b/>
                <w:sz w:val="20"/>
                <w:szCs w:val="20"/>
                <w:u w:val="single"/>
                <w:lang w:eastAsia="ko-KR"/>
              </w:rPr>
            </w:pPr>
            <w:r>
              <w:rPr>
                <w:rFonts w:ascii="Times New Roman" w:hAnsi="Times New Roman" w:cs="Times New Roman"/>
                <w:b/>
                <w:sz w:val="20"/>
                <w:szCs w:val="20"/>
                <w:u w:val="single"/>
                <w:lang w:eastAsia="ko-KR"/>
              </w:rPr>
              <w:t>Issue 2-1-2: EVM requirement for 39GHz</w:t>
            </w:r>
          </w:p>
          <w:p>
            <w:pPr>
              <w:pStyle w:val="29"/>
              <w:numPr>
                <w:ilvl w:val="-1"/>
                <w:numId w:val="0"/>
              </w:numPr>
              <w:adjustRightInd w:val="0"/>
              <w:snapToGrid w:val="0"/>
              <w:spacing w:line="240" w:lineRule="auto"/>
              <w:ind w:left="0" w:leftChars="0" w:firstLine="0" w:firstLineChars="0"/>
              <w:rPr>
                <w:rFonts w:ascii="Times New Roman" w:hAnsi="Times New Roman" w:cs="Times New Roman"/>
                <w:b/>
                <w:sz w:val="20"/>
                <w:szCs w:val="20"/>
                <w:lang w:eastAsia="zh-CN"/>
              </w:rPr>
            </w:pPr>
            <w:r>
              <w:rPr>
                <w:rFonts w:ascii="Times New Roman" w:hAnsi="Times New Roman" w:cs="Times New Roman"/>
                <w:b/>
                <w:sz w:val="20"/>
                <w:szCs w:val="20"/>
                <w:lang w:eastAsia="zh-CN"/>
              </w:rPr>
              <w:t>Agreement:</w:t>
            </w:r>
          </w:p>
          <w:p>
            <w:pPr>
              <w:pStyle w:val="29"/>
              <w:numPr>
                <w:ilvl w:val="0"/>
                <w:numId w:val="5"/>
              </w:numPr>
              <w:adjustRightInd w:val="0"/>
              <w:snapToGrid w:val="0"/>
              <w:spacing w:after="120" w:line="240" w:lineRule="auto"/>
              <w:ind w:left="284"/>
              <w:rPr>
                <w:rFonts w:ascii="Times New Roman" w:hAnsi="Times New Roman" w:cs="Times New Roman"/>
                <w:sz w:val="20"/>
                <w:szCs w:val="20"/>
                <w:lang w:eastAsia="zh-CN"/>
              </w:rPr>
            </w:pPr>
            <w:r>
              <w:rPr>
                <w:rFonts w:ascii="Times New Roman" w:hAnsi="Times New Roman" w:cs="Times New Roman"/>
                <w:sz w:val="20"/>
                <w:szCs w:val="20"/>
                <w:lang w:eastAsia="zh-CN"/>
              </w:rPr>
              <w:t>3.5% EVM for 39GHz and using average value FFS for operating SNR with limited MCS.</w:t>
            </w:r>
          </w:p>
          <w:p>
            <w:pPr>
              <w:pStyle w:val="29"/>
              <w:numPr>
                <w:ilvl w:val="0"/>
                <w:numId w:val="5"/>
              </w:numPr>
              <w:adjustRightInd w:val="0"/>
              <w:snapToGrid w:val="0"/>
              <w:spacing w:after="120" w:line="240" w:lineRule="auto"/>
              <w:ind w:left="284"/>
              <w:rPr>
                <w:rFonts w:ascii="Times New Roman" w:hAnsi="Times New Roman" w:cs="Times New Roman"/>
                <w:sz w:val="20"/>
                <w:szCs w:val="20"/>
                <w:lang w:eastAsia="zh-CN"/>
              </w:rPr>
            </w:pPr>
            <w:r>
              <w:rPr>
                <w:rFonts w:ascii="Times New Roman" w:hAnsi="Times New Roman" w:cs="Times New Roman"/>
                <w:sz w:val="20"/>
                <w:szCs w:val="20"/>
                <w:lang w:eastAsia="zh-CN"/>
              </w:rPr>
              <w:t>The limited MCS is the subset of MCS with 256QAM</w:t>
            </w:r>
          </w:p>
          <w:p>
            <w:pPr>
              <w:pStyle w:val="29"/>
              <w:numPr>
                <w:ilvl w:val="0"/>
                <w:numId w:val="5"/>
              </w:numPr>
              <w:adjustRightInd w:val="0"/>
              <w:snapToGrid w:val="0"/>
              <w:spacing w:after="120" w:line="240" w:lineRule="auto"/>
              <w:ind w:left="284"/>
              <w:rPr>
                <w:rFonts w:ascii="Times New Roman" w:hAnsi="Times New Roman" w:cs="Times New Roman"/>
                <w:sz w:val="20"/>
                <w:szCs w:val="20"/>
                <w:lang w:eastAsia="zh-CN"/>
              </w:rPr>
            </w:pPr>
            <w:r>
              <w:rPr>
                <w:rFonts w:ascii="Times New Roman" w:hAnsi="Times New Roman" w:cs="Times New Roman"/>
                <w:sz w:val="20"/>
                <w:szCs w:val="20"/>
                <w:lang w:eastAsia="zh-CN"/>
              </w:rPr>
              <w:t>FFS on the list of MCS</w:t>
            </w:r>
          </w:p>
          <w:p>
            <w:pPr>
              <w:pStyle w:val="29"/>
              <w:numPr>
                <w:ilvl w:val="0"/>
                <w:numId w:val="5"/>
              </w:numPr>
              <w:adjustRightInd w:val="0"/>
              <w:snapToGrid w:val="0"/>
              <w:spacing w:after="120" w:line="240" w:lineRule="auto"/>
              <w:ind w:left="284"/>
              <w:rPr>
                <w:rFonts w:ascii="Times New Roman" w:hAnsi="Times New Roman" w:cs="Times New Roman"/>
                <w:sz w:val="20"/>
                <w:szCs w:val="20"/>
                <w:lang w:eastAsia="zh-CN"/>
              </w:rPr>
            </w:pPr>
            <w:r>
              <w:rPr>
                <w:rFonts w:ascii="Times New Roman" w:hAnsi="Times New Roman" w:cs="Times New Roman"/>
                <w:sz w:val="20"/>
                <w:szCs w:val="20"/>
                <w:lang w:eastAsia="zh-CN"/>
              </w:rPr>
              <w:t>Decide the operating SNR based on list of MCS</w:t>
            </w:r>
          </w:p>
          <w:p>
            <w:pPr>
              <w:pStyle w:val="29"/>
              <w:numPr>
                <w:ilvl w:val="0"/>
                <w:numId w:val="5"/>
              </w:numPr>
              <w:adjustRightInd w:val="0"/>
              <w:snapToGrid w:val="0"/>
              <w:spacing w:after="120" w:line="240" w:lineRule="auto"/>
              <w:ind w:left="284"/>
              <w:rPr>
                <w:rFonts w:ascii="Times New Roman" w:hAnsi="Times New Roman" w:cs="Times New Roman"/>
                <w:sz w:val="20"/>
                <w:szCs w:val="20"/>
                <w:lang w:eastAsia="zh-CN"/>
              </w:rPr>
            </w:pPr>
            <w:r>
              <w:rPr>
                <w:rFonts w:ascii="Times New Roman" w:hAnsi="Times New Roman" w:cs="Times New Roman"/>
                <w:sz w:val="20"/>
                <w:szCs w:val="20"/>
                <w:lang w:eastAsia="zh-CN"/>
              </w:rPr>
              <w:t>The target power class is PC1, PC2, and PC5</w:t>
            </w:r>
          </w:p>
          <w:p>
            <w:pPr>
              <w:pStyle w:val="29"/>
              <w:widowControl w:val="0"/>
              <w:numPr>
                <w:ilvl w:val="-1"/>
                <w:numId w:val="0"/>
              </w:numPr>
              <w:adjustRightInd w:val="0"/>
              <w:snapToGrid w:val="0"/>
              <w:spacing w:line="240" w:lineRule="auto"/>
              <w:ind w:left="0" w:leftChars="0" w:firstLine="0" w:firstLineChars="0"/>
              <w:rPr>
                <w:rFonts w:hint="eastAsia" w:eastAsia="宋体"/>
                <w:vertAlign w:val="baseline"/>
                <w:lang w:val="en-US" w:eastAsia="zh-CN" w:bidi="hi-IN"/>
              </w:rPr>
            </w:pPr>
          </w:p>
        </w:tc>
      </w:tr>
    </w:tbl>
    <w:p>
      <w:pPr>
        <w:tabs>
          <w:tab w:val="left" w:pos="0"/>
        </w:tabs>
        <w:snapToGrid/>
        <w:spacing w:before="120" w:beforeLines="50" w:line="240" w:lineRule="auto"/>
        <w:rPr>
          <w:rFonts w:hint="eastAsia" w:eastAsia="宋体" w:cs="Times New Roman"/>
          <w:szCs w:val="20"/>
          <w:lang w:val="en-US" w:eastAsia="zh-CN" w:bidi="ar-SA"/>
        </w:rPr>
      </w:pPr>
      <w:r>
        <w:rPr>
          <w:rFonts w:hint="eastAsia" w:eastAsia="宋体" w:cs="Times New Roman"/>
          <w:szCs w:val="20"/>
          <w:lang w:val="en-US" w:eastAsia="zh-CN" w:bidi="ar-SA"/>
        </w:rPr>
        <w:t>It can be seen that the operating SNR for both 29G and 39G are still FFS although there were some recommendations from the moderator. In addition, for 39GHz, companies commented that additional MCS would be needed for the feasible purpose although the evaluations from some companies shows the gain can be achieved.</w:t>
      </w:r>
    </w:p>
    <w:p>
      <w:pPr>
        <w:pStyle w:val="4"/>
        <w:tabs>
          <w:tab w:val="left" w:pos="226"/>
          <w:tab w:val="left" w:pos="284"/>
          <w:tab w:val="left" w:pos="5103"/>
        </w:tabs>
        <w:snapToGrid w:val="0"/>
        <w:spacing w:beforeLines="50"/>
        <w:rPr>
          <w:rFonts w:hint="default" w:eastAsia="宋体" w:cs="Times New Roman"/>
          <w:szCs w:val="20"/>
          <w:lang w:val="en-US" w:eastAsia="zh-CN" w:bidi="ar-SA"/>
        </w:rPr>
      </w:pPr>
      <w:r>
        <w:rPr>
          <w:rFonts w:hint="eastAsia" w:eastAsia="宋体" w:cs="Times New Roman"/>
          <w:szCs w:val="20"/>
          <w:lang w:val="en-US" w:eastAsia="zh-CN" w:bidi="ar-SA"/>
        </w:rPr>
        <w:t xml:space="preserve">In this contribution, </w:t>
      </w:r>
      <w:bookmarkStart w:id="1" w:name="OLE_LINK11"/>
      <w:r>
        <w:rPr>
          <w:rFonts w:hint="eastAsia" w:eastAsia="宋体" w:cs="Times New Roman"/>
          <w:szCs w:val="20"/>
          <w:lang w:val="en-US" w:eastAsia="zh-CN" w:bidi="ar-SA"/>
        </w:rPr>
        <w:t xml:space="preserve">we provide additional link level simulation results of MCS22 for </w:t>
      </w:r>
      <w:r>
        <w:rPr>
          <w:rFonts w:hint="eastAsia" w:eastAsia="宋体"/>
          <w:szCs w:val="20"/>
          <w:lang w:val="en-US" w:eastAsia="zh-CN"/>
        </w:rPr>
        <w:t xml:space="preserve">CP-OFDM for 39GHz frequency carrier to determine whether MCS22 is feasible for </w:t>
      </w:r>
      <w:r>
        <w:rPr>
          <w:rFonts w:hint="eastAsia" w:eastAsia="宋体" w:cs="Times New Roman"/>
          <w:szCs w:val="20"/>
          <w:lang w:val="en-US" w:eastAsia="zh-CN" w:bidi="ar-SA"/>
        </w:rPr>
        <w:t>256QAM. In addition, we provide some initial simulation results based on the approved</w:t>
      </w:r>
      <w:bookmarkStart w:id="2" w:name="OLE_LINK5"/>
      <w:r>
        <w:rPr>
          <w:rFonts w:hint="eastAsia" w:eastAsia="宋体" w:cs="Times New Roman"/>
          <w:szCs w:val="20"/>
          <w:lang w:val="en-US" w:eastAsia="zh-CN" w:bidi="ar-SA"/>
        </w:rPr>
        <w:t xml:space="preserve"> simulation assumption</w:t>
      </w:r>
      <w:bookmarkEnd w:id="2"/>
      <w:r>
        <w:rPr>
          <w:rFonts w:hint="eastAsia" w:eastAsia="宋体" w:cs="Times New Roman"/>
          <w:szCs w:val="20"/>
          <w:lang w:val="en-US" w:eastAsia="zh-CN" w:bidi="ar-SA"/>
        </w:rPr>
        <w:t>, meanwhile some proposals on simulation assumption are given.</w:t>
      </w:r>
      <w:bookmarkEnd w:id="1"/>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Link level simulation</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bidi="hi-IN"/>
        </w:rPr>
      </w:pPr>
      <w:r>
        <w:rPr>
          <w:rFonts w:hint="eastAsia" w:eastAsia="宋体"/>
          <w:lang w:val="en-US" w:eastAsia="zh-CN" w:bidi="hi-IN"/>
        </w:rPr>
        <w:t>For MCS22 evaluation, the simulation assumptions are from [2] as listed in Annex A1, and the parameters used in this simulation are marked in red. The throughput curves for MCS22 for CP-OFDM Rank1 transmission are listed in figure1~figure 3.</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center"/>
        <w:textAlignment w:val="auto"/>
      </w:pPr>
      <w:r>
        <w:drawing>
          <wp:inline distT="0" distB="0" distL="114300" distR="114300">
            <wp:extent cx="3086735" cy="2558415"/>
            <wp:effectExtent l="0" t="0" r="6985"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a:stretch>
                      <a:fillRect/>
                    </a:stretch>
                  </pic:blipFill>
                  <pic:spPr>
                    <a:xfrm>
                      <a:off x="0" y="0"/>
                      <a:ext cx="3086735" cy="2558415"/>
                    </a:xfrm>
                    <a:prstGeom prst="rect">
                      <a:avLst/>
                    </a:prstGeom>
                    <a:noFill/>
                    <a:ln>
                      <a:noFill/>
                    </a:ln>
                  </pic:spPr>
                </pic:pic>
              </a:graphicData>
            </a:graphic>
          </wp:inline>
        </w:drawing>
      </w:r>
    </w:p>
    <w:p>
      <w:pPr>
        <w:jc w:val="center"/>
        <w:rPr>
          <w:rFonts w:hint="eastAsia" w:cs="Times New Roman"/>
          <w:b/>
          <w:lang w:val="en-US" w:eastAsia="zh-CN"/>
        </w:rPr>
      </w:pPr>
      <w:r>
        <w:rPr>
          <w:rFonts w:hint="default" w:ascii="Times New Roman" w:hAnsi="Times New Roman" w:cs="Times New Roman"/>
          <w:b/>
          <w:lang w:eastAsia="zh-CN"/>
        </w:rPr>
        <w:t xml:space="preserve">Figure </w:t>
      </w:r>
      <w:r>
        <w:rPr>
          <w:rFonts w:hint="eastAsia" w:cs="Times New Roman"/>
          <w:b/>
          <w:lang w:val="en-US" w:eastAsia="zh-CN"/>
        </w:rPr>
        <w:t>1,</w:t>
      </w:r>
      <w:r>
        <w:rPr>
          <w:rFonts w:hint="default" w:ascii="Times New Roman" w:hAnsi="Times New Roman" w:cs="Times New Roman"/>
          <w:b/>
          <w:lang w:eastAsia="zh-CN"/>
        </w:rPr>
        <w:t xml:space="preserve"> Throughput performance </w:t>
      </w:r>
      <w:r>
        <w:rPr>
          <w:rFonts w:hint="eastAsia" w:ascii="Times New Roman" w:hAnsi="Times New Roman" w:cs="Times New Roman"/>
          <w:b/>
          <w:lang w:val="en-US" w:eastAsia="zh-CN"/>
        </w:rPr>
        <w:t>comparison between</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256QAM </w:t>
      </w:r>
      <w:r>
        <w:rPr>
          <w:rFonts w:hint="eastAsia" w:ascii="Times New Roman" w:hAnsi="Times New Roman" w:cs="Times New Roman"/>
          <w:b/>
          <w:lang w:val="en-US" w:eastAsia="zh-CN"/>
        </w:rPr>
        <w:t>MCS 22 and</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64QAM </w:t>
      </w:r>
      <w:r>
        <w:rPr>
          <w:rFonts w:hint="eastAsia" w:ascii="Times New Roman" w:hAnsi="Times New Roman" w:cs="Times New Roman"/>
          <w:b/>
          <w:lang w:val="en-US" w:eastAsia="zh-CN"/>
        </w:rPr>
        <w:t xml:space="preserve">MCS24 </w:t>
      </w:r>
      <w:r>
        <w:rPr>
          <w:rFonts w:hint="eastAsia" w:cs="Times New Roman"/>
          <w:b/>
          <w:lang w:val="en-US" w:eastAsia="zh-CN"/>
        </w:rPr>
        <w:t>@39GHz AWGN channel</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center"/>
        <w:textAlignment w:val="auto"/>
      </w:pPr>
      <w:r>
        <w:drawing>
          <wp:inline distT="0" distB="0" distL="114300" distR="114300">
            <wp:extent cx="3062605" cy="2574290"/>
            <wp:effectExtent l="0" t="0" r="63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tretch>
                      <a:fillRect/>
                    </a:stretch>
                  </pic:blipFill>
                  <pic:spPr>
                    <a:xfrm>
                      <a:off x="0" y="0"/>
                      <a:ext cx="3062605" cy="2574290"/>
                    </a:xfrm>
                    <a:prstGeom prst="rect">
                      <a:avLst/>
                    </a:prstGeom>
                    <a:noFill/>
                    <a:ln>
                      <a:noFill/>
                    </a:ln>
                  </pic:spPr>
                </pic:pic>
              </a:graphicData>
            </a:graphic>
          </wp:inline>
        </w:drawing>
      </w:r>
    </w:p>
    <w:p>
      <w:pPr>
        <w:jc w:val="center"/>
        <w:rPr>
          <w:rFonts w:hint="eastAsia" w:cs="Times New Roman"/>
          <w:b/>
          <w:lang w:val="en-US" w:eastAsia="zh-CN"/>
        </w:rPr>
      </w:pPr>
      <w:r>
        <w:rPr>
          <w:rFonts w:hint="default" w:ascii="Times New Roman" w:hAnsi="Times New Roman" w:cs="Times New Roman"/>
          <w:b/>
          <w:lang w:eastAsia="zh-CN"/>
        </w:rPr>
        <w:t xml:space="preserve">Figure </w:t>
      </w:r>
      <w:r>
        <w:rPr>
          <w:rFonts w:hint="eastAsia" w:cs="Times New Roman"/>
          <w:b/>
          <w:lang w:val="en-US" w:eastAsia="zh-CN"/>
        </w:rPr>
        <w:t>2,</w:t>
      </w:r>
      <w:r>
        <w:rPr>
          <w:rFonts w:hint="default" w:ascii="Times New Roman" w:hAnsi="Times New Roman" w:cs="Times New Roman"/>
          <w:b/>
          <w:lang w:eastAsia="zh-CN"/>
        </w:rPr>
        <w:t xml:space="preserve"> Throughput performance </w:t>
      </w:r>
      <w:r>
        <w:rPr>
          <w:rFonts w:hint="eastAsia" w:ascii="Times New Roman" w:hAnsi="Times New Roman" w:cs="Times New Roman"/>
          <w:b/>
          <w:lang w:val="en-US" w:eastAsia="zh-CN"/>
        </w:rPr>
        <w:t>comparison between</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256QAM </w:t>
      </w:r>
      <w:r>
        <w:rPr>
          <w:rFonts w:hint="eastAsia" w:ascii="Times New Roman" w:hAnsi="Times New Roman" w:cs="Times New Roman"/>
          <w:b/>
          <w:lang w:val="en-US" w:eastAsia="zh-CN"/>
        </w:rPr>
        <w:t>MCS 22 and</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64QAM </w:t>
      </w:r>
      <w:r>
        <w:rPr>
          <w:rFonts w:hint="eastAsia" w:ascii="Times New Roman" w:hAnsi="Times New Roman" w:cs="Times New Roman"/>
          <w:b/>
          <w:lang w:val="en-US" w:eastAsia="zh-CN"/>
        </w:rPr>
        <w:t xml:space="preserve">MCS24 </w:t>
      </w:r>
      <w:r>
        <w:rPr>
          <w:rFonts w:hint="eastAsia" w:cs="Times New Roman"/>
          <w:b/>
          <w:lang w:val="en-US" w:eastAsia="zh-CN"/>
        </w:rPr>
        <w:t>@39GHz TDL-D channel</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center"/>
        <w:textAlignment w:val="auto"/>
      </w:pPr>
      <w:r>
        <w:drawing>
          <wp:inline distT="0" distB="0" distL="114300" distR="114300">
            <wp:extent cx="3133725" cy="2602230"/>
            <wp:effectExtent l="0" t="0" r="571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3133725" cy="260223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0" w:after="0" w:line="240" w:lineRule="auto"/>
        <w:jc w:val="center"/>
        <w:textAlignment w:val="auto"/>
        <w:rPr>
          <w:rFonts w:hint="eastAsia"/>
          <w:lang w:val="en-US" w:eastAsia="zh-CN"/>
        </w:rPr>
      </w:pPr>
      <w:r>
        <w:rPr>
          <w:rFonts w:hint="default" w:ascii="Times New Roman" w:hAnsi="Times New Roman" w:cs="Times New Roman"/>
          <w:b/>
          <w:lang w:eastAsia="zh-CN"/>
        </w:rPr>
        <w:t>Figure</w:t>
      </w:r>
      <w:r>
        <w:rPr>
          <w:rFonts w:hint="eastAsia" w:ascii="Times New Roman" w:hAnsi="Times New Roman" w:cs="Times New Roman"/>
          <w:b/>
          <w:lang w:val="en-US" w:eastAsia="zh-CN"/>
        </w:rPr>
        <w:t>3,</w:t>
      </w:r>
      <w:r>
        <w:rPr>
          <w:rFonts w:hint="default" w:ascii="Times New Roman" w:hAnsi="Times New Roman" w:cs="Times New Roman"/>
          <w:b/>
          <w:lang w:eastAsia="zh-CN"/>
        </w:rPr>
        <w:t xml:space="preserve"> Throughput performance </w:t>
      </w:r>
      <w:r>
        <w:rPr>
          <w:rFonts w:hint="eastAsia" w:ascii="Times New Roman" w:hAnsi="Times New Roman" w:cs="Times New Roman"/>
          <w:b/>
          <w:lang w:val="en-US" w:eastAsia="zh-CN"/>
        </w:rPr>
        <w:t>comparison between</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256QAM </w:t>
      </w:r>
      <w:r>
        <w:rPr>
          <w:rFonts w:hint="eastAsia" w:ascii="Times New Roman" w:hAnsi="Times New Roman" w:cs="Times New Roman"/>
          <w:b/>
          <w:lang w:val="en-US" w:eastAsia="zh-CN"/>
        </w:rPr>
        <w:t>MCS 22 and</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 xml:space="preserve">FR2 UL </w:t>
      </w:r>
      <w:r>
        <w:rPr>
          <w:rFonts w:hint="default" w:ascii="Times New Roman" w:hAnsi="Times New Roman" w:cs="Times New Roman"/>
          <w:b/>
          <w:lang w:eastAsia="zh-CN"/>
        </w:rPr>
        <w:t xml:space="preserve">64QAM </w:t>
      </w:r>
      <w:r>
        <w:rPr>
          <w:rFonts w:hint="eastAsia" w:ascii="Times New Roman" w:hAnsi="Times New Roman" w:cs="Times New Roman"/>
          <w:b/>
          <w:lang w:val="en-US" w:eastAsia="zh-CN"/>
        </w:rPr>
        <w:t xml:space="preserve">MCS24 </w:t>
      </w:r>
      <w:r>
        <w:rPr>
          <w:rFonts w:hint="eastAsia" w:cs="Times New Roman"/>
          <w:b/>
          <w:lang w:val="en-US" w:eastAsia="zh-CN"/>
        </w:rPr>
        <w:t>@39GHz TDL-A channel</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bidi="hi-IN"/>
        </w:rPr>
      </w:pPr>
      <w:r>
        <w:rPr>
          <w:rFonts w:hint="eastAsia" w:eastAsia="宋体"/>
          <w:lang w:val="en-US" w:eastAsia="zh-CN" w:bidi="hi-IN"/>
        </w:rPr>
        <w:t xml:space="preserve">The updated target SNR values are summarized in table 1, where </w:t>
      </w:r>
      <w:r>
        <w:rPr>
          <w:rFonts w:hint="default" w:eastAsia="宋体"/>
          <w:lang w:val="en-US" w:eastAsia="zh-CN" w:bidi="hi-IN"/>
        </w:rPr>
        <w:t>“</w:t>
      </w:r>
      <w:r>
        <w:rPr>
          <w:rFonts w:hint="eastAsia" w:eastAsia="宋体"/>
          <w:lang w:val="en-US" w:eastAsia="zh-CN" w:bidi="hi-IN"/>
        </w:rPr>
        <w:t>-</w:t>
      </w:r>
      <w:r>
        <w:rPr>
          <w:rFonts w:hint="default" w:eastAsia="宋体"/>
          <w:lang w:val="en-US" w:eastAsia="zh-CN" w:bidi="hi-IN"/>
        </w:rPr>
        <w:t>”</w:t>
      </w:r>
      <w:r>
        <w:rPr>
          <w:rFonts w:hint="eastAsia" w:eastAsia="宋体"/>
          <w:lang w:val="en-US" w:eastAsia="zh-CN" w:bidi="hi-IN"/>
        </w:rPr>
        <w:t xml:space="preserve"> means that 256QAM can not provide better performance in the given SNR range compared to 64QAM. As EVM was reached in last meeting so the simulation results of EVM 3.0% and EVM 4.0% are not provided.</w:t>
      </w:r>
    </w:p>
    <w:p>
      <w:pPr>
        <w:pStyle w:val="37"/>
        <w:adjustRightInd w:val="0"/>
        <w:snapToGrid w:val="0"/>
        <w:rPr>
          <w:rFonts w:hint="default" w:eastAsia="宋体"/>
          <w:lang w:val="en-US" w:eastAsia="zh-CN" w:bidi="hi-IN"/>
        </w:rPr>
      </w:pPr>
      <w:r>
        <w:rPr>
          <w:rFonts w:hint="default" w:eastAsia="宋体"/>
          <w:lang w:val="en-US" w:eastAsia="zh-CN" w:bidi="hi-IN"/>
        </w:rPr>
        <w:t>Table 1. Target SNR for CP-OFDM, Rank 1 transmission</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1016"/>
        <w:gridCol w:w="883"/>
        <w:gridCol w:w="2705"/>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default" w:eastAsia="宋体"/>
                <w:vertAlign w:val="baseline"/>
                <w:lang w:val="en-US" w:eastAsia="zh-CN" w:bidi="hi-IN"/>
              </w:rPr>
            </w:pPr>
            <w:r>
              <w:rPr>
                <w:rFonts w:hint="eastAsia" w:eastAsia="宋体"/>
                <w:vertAlign w:val="baseline"/>
                <w:lang w:val="en-US" w:eastAsia="zh-CN" w:bidi="hi-IN"/>
              </w:rPr>
              <w:t>index</w:t>
            </w:r>
          </w:p>
        </w:tc>
        <w:tc>
          <w:tcPr>
            <w:tcW w:w="0" w:type="auto"/>
            <w:vMerge w:val="restart"/>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default" w:eastAsia="宋体"/>
                <w:vertAlign w:val="baseline"/>
                <w:lang w:val="en-US" w:eastAsia="zh-CN" w:bidi="hi-IN"/>
              </w:rPr>
            </w:pPr>
            <w:r>
              <w:rPr>
                <w:rFonts w:hint="eastAsia" w:eastAsia="宋体"/>
                <w:vertAlign w:val="baseline"/>
                <w:lang w:val="en-US" w:eastAsia="zh-CN" w:bidi="hi-IN"/>
              </w:rPr>
              <w:t>frequency</w:t>
            </w:r>
          </w:p>
        </w:tc>
        <w:tc>
          <w:tcPr>
            <w:tcW w:w="0" w:type="auto"/>
            <w:vMerge w:val="restart"/>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eastAsia="Times New Roman" w:cs="Times New Roman"/>
                <w:szCs w:val="24"/>
                <w:lang w:val="en-US" w:eastAsia="zh-CN" w:bidi="ar-SA"/>
              </w:rPr>
            </w:pPr>
            <w:r>
              <w:rPr>
                <w:rFonts w:hint="eastAsia" w:cs="Times New Roman"/>
                <w:szCs w:val="24"/>
                <w:lang w:val="en-US" w:eastAsia="zh-CN" w:bidi="ar-SA"/>
              </w:rPr>
              <w:t>Channel</w:t>
            </w:r>
          </w:p>
        </w:tc>
        <w:tc>
          <w:tcPr>
            <w:tcW w:w="0" w:type="auto"/>
            <w:vMerge w:val="restart"/>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default" w:eastAsia="宋体"/>
                <w:vertAlign w:val="baseline"/>
                <w:lang w:val="en-US" w:eastAsia="zh-CN" w:bidi="hi-IN"/>
              </w:rPr>
            </w:pPr>
            <w:r>
              <w:rPr>
                <w:rFonts w:hint="eastAsia" w:eastAsia="宋体"/>
                <w:vertAlign w:val="baseline"/>
                <w:lang w:val="en-US" w:eastAsia="zh-CN" w:bidi="hi-IN"/>
              </w:rPr>
              <w:t>Test setup (64QAM/256QAM)</w:t>
            </w:r>
          </w:p>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default" w:eastAsia="宋体"/>
                <w:vertAlign w:val="baseline"/>
                <w:lang w:val="en-US" w:eastAsia="zh-CN" w:bidi="hi-IN"/>
              </w:rPr>
            </w:pPr>
          </w:p>
        </w:tc>
        <w:tc>
          <w:tcPr>
            <w:tcW w:w="1324" w:type="dxa"/>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r>
              <w:rPr>
                <w:rFonts w:hint="eastAsia" w:eastAsia="宋体"/>
                <w:vertAlign w:val="baseline"/>
                <w:lang w:val="en-US" w:eastAsia="zh-CN" w:bidi="hi-IN"/>
              </w:rPr>
              <w:t>Target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1324" w:type="dxa"/>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r>
              <w:rPr>
                <w:rFonts w:hint="eastAsia" w:eastAsia="宋体"/>
                <w:vertAlign w:val="baseline"/>
                <w:lang w:val="en-US" w:eastAsia="zh-CN" w:bidi="hi-IN"/>
              </w:rPr>
              <w:t>EVM 3.5%+3.5%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bookmarkStart w:id="3" w:name="OLE_LINK3" w:colFirst="2" w:colLast="2"/>
            <w:r>
              <w:rPr>
                <w:rFonts w:hint="eastAsia" w:eastAsia="宋体"/>
                <w:vertAlign w:val="baseline"/>
                <w:lang w:val="en-US" w:eastAsia="zh-CN" w:bidi="hi-IN"/>
              </w:rPr>
              <w:t>1</w:t>
            </w: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r>
              <w:rPr>
                <w:rFonts w:hint="eastAsia" w:eastAsia="宋体"/>
                <w:vertAlign w:val="baseline"/>
                <w:lang w:val="en-US" w:eastAsia="zh-CN" w:bidi="hi-IN"/>
              </w:rPr>
              <w:t>29GHz</w:t>
            </w: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default" w:eastAsia="宋体"/>
                <w:vertAlign w:val="baseline"/>
                <w:lang w:val="en-US" w:eastAsia="zh-CN" w:bidi="hi-IN"/>
              </w:rPr>
            </w:pPr>
            <w:r>
              <w:rPr>
                <w:rFonts w:hint="eastAsia" w:eastAsia="宋体"/>
                <w:vertAlign w:val="baseline"/>
                <w:lang w:val="en-US" w:eastAsia="zh-CN" w:bidi="hi-IN"/>
              </w:rPr>
              <w:t>AWGN</w:t>
            </w:r>
          </w:p>
        </w:tc>
        <w:tc>
          <w:tcPr>
            <w:tcW w:w="0" w:type="auto"/>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 xml:space="preserve">MCS23/21  </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20.80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2</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MCS24/23</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27.47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3</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default" w:eastAsia="宋体"/>
                <w:vertAlign w:val="baseline"/>
                <w:lang w:val="en-US" w:eastAsia="zh-CN" w:bidi="hi-IN"/>
              </w:rPr>
            </w:pPr>
            <w:r>
              <w:rPr>
                <w:rFonts w:hint="eastAsia" w:eastAsia="宋体"/>
                <w:vertAlign w:val="baseline"/>
                <w:lang w:val="en-US" w:eastAsia="zh-CN" w:bidi="hi-IN"/>
              </w:rPr>
              <w:t>TDL-D</w:t>
            </w: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MCS23/21</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default" w:eastAsia="宋体"/>
                <w:vertAlign w:val="baseline"/>
                <w:lang w:val="en-US" w:eastAsia="zh-CN" w:bidi="hi-IN"/>
              </w:rPr>
              <w:t>2</w:t>
            </w:r>
            <w:r>
              <w:rPr>
                <w:rFonts w:hint="eastAsia" w:eastAsia="宋体"/>
                <w:vertAlign w:val="baseline"/>
                <w:lang w:val="en-US" w:eastAsia="zh-CN" w:bidi="hi-IN"/>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4</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eastAsia="宋体"/>
                <w:vertAlign w:val="baseline"/>
                <w:lang w:val="en-US" w:eastAsia="zh-CN" w:bidi="hi-IN"/>
              </w:rPr>
            </w:pPr>
            <w:r>
              <w:rPr>
                <w:rFonts w:hint="eastAsia" w:eastAsia="宋体"/>
                <w:vertAlign w:val="baseline"/>
                <w:lang w:val="en-US" w:eastAsia="zh-CN" w:bidi="hi-IN"/>
              </w:rPr>
              <w:t>MCS24/23</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27.71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5</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default" w:eastAsia="宋体"/>
                <w:vertAlign w:val="baseline"/>
                <w:lang w:val="en-US" w:eastAsia="zh-CN" w:bidi="hi-IN"/>
              </w:rPr>
            </w:pPr>
            <w:r>
              <w:rPr>
                <w:rFonts w:hint="eastAsia" w:eastAsia="宋体"/>
                <w:vertAlign w:val="baseline"/>
                <w:lang w:val="en-US" w:eastAsia="zh-CN" w:bidi="hi-IN"/>
              </w:rPr>
              <w:t>TDL-A</w:t>
            </w: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MCS23/21</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24.03</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6</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MCS24/23</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29.07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7</w:t>
            </w: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default" w:eastAsia="宋体"/>
                <w:vertAlign w:val="baseline"/>
                <w:lang w:val="en-US" w:eastAsia="zh-CN" w:bidi="hi-IN"/>
              </w:rPr>
            </w:pPr>
            <w:r>
              <w:rPr>
                <w:rFonts w:hint="eastAsia" w:eastAsia="宋体"/>
                <w:vertAlign w:val="baseline"/>
                <w:lang w:val="en-US" w:eastAsia="zh-CN" w:bidi="hi-IN"/>
              </w:rPr>
              <w:t>39GHz</w:t>
            </w: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AWGN</w:t>
            </w: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 xml:space="preserve">MCS23/21  </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eastAsia="宋体" w:cs="Times New Roman"/>
                <w:szCs w:val="24"/>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eastAsia="宋体"/>
                <w:vertAlign w:val="baseline"/>
                <w:lang w:val="en-US" w:eastAsia="zh-CN" w:bidi="hi-IN"/>
              </w:rPr>
            </w:pPr>
            <w:r>
              <w:rPr>
                <w:rFonts w:hint="eastAsia" w:eastAsia="宋体"/>
                <w:vertAlign w:val="baseline"/>
                <w:lang w:val="en-US" w:eastAsia="zh-CN" w:bidi="hi-IN"/>
              </w:rPr>
              <w:t>MCS24/22</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27.55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8</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MCS24/23</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9</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TDL-D</w:t>
            </w: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MCS23/21</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eastAsia="宋体" w:cs="Times New Roman"/>
                <w:szCs w:val="24"/>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MCS24/22</w:t>
            </w:r>
          </w:p>
        </w:tc>
        <w:tc>
          <w:tcPr>
            <w:tcW w:w="1324" w:type="dxa"/>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29.61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10</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MCS24/23</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11</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TDL-A</w:t>
            </w: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MCS23/21</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26.09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eastAsia="宋体" w:cs="Times New Roman"/>
                <w:szCs w:val="24"/>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eastAsia="宋体"/>
                <w:vertAlign w:val="baseline"/>
                <w:lang w:val="en-US" w:eastAsia="zh-CN" w:bidi="hi-IN"/>
              </w:rPr>
            </w:pPr>
            <w:r>
              <w:rPr>
                <w:rFonts w:hint="eastAsia" w:eastAsia="宋体"/>
                <w:vertAlign w:val="baseline"/>
                <w:lang w:val="en-US" w:eastAsia="zh-CN" w:bidi="hi-IN"/>
              </w:rPr>
              <w:t>MCS24/22</w:t>
            </w:r>
          </w:p>
        </w:tc>
        <w:tc>
          <w:tcPr>
            <w:tcW w:w="1324" w:type="dxa"/>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30.70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12</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MCS24/23</w:t>
            </w:r>
          </w:p>
        </w:tc>
        <w:tc>
          <w:tcPr>
            <w:tcW w:w="1324" w:type="dxa"/>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eastAsia="宋体"/>
                <w:vertAlign w:val="baseline"/>
                <w:lang w:val="en-US" w:eastAsia="zh-CN" w:bidi="hi-IN"/>
              </w:rPr>
            </w:pPr>
            <w:r>
              <w:rPr>
                <w:rFonts w:hint="eastAsia" w:eastAsia="宋体"/>
                <w:vertAlign w:val="baseline"/>
                <w:lang w:val="en-US" w:eastAsia="zh-CN" w:bidi="hi-I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13</w:t>
            </w: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48GHz</w:t>
            </w: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AWGN</w:t>
            </w: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 xml:space="preserve">MCS23/21  </w:t>
            </w:r>
          </w:p>
        </w:tc>
        <w:tc>
          <w:tcPr>
            <w:tcW w:w="1324" w:type="dxa"/>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14</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MCS24/23</w:t>
            </w:r>
          </w:p>
        </w:tc>
        <w:tc>
          <w:tcPr>
            <w:tcW w:w="1324" w:type="dxa"/>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15</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TDL-D</w:t>
            </w: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MCS23/21</w:t>
            </w:r>
          </w:p>
        </w:tc>
        <w:tc>
          <w:tcPr>
            <w:tcW w:w="1324" w:type="dxa"/>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16</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MCS24/23</w:t>
            </w:r>
          </w:p>
        </w:tc>
        <w:tc>
          <w:tcPr>
            <w:tcW w:w="1324" w:type="dxa"/>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17</w:t>
            </w:r>
          </w:p>
        </w:tc>
        <w:tc>
          <w:tcPr>
            <w:tcW w:w="0" w:type="auto"/>
            <w:vMerge w:val="continue"/>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eastAsia="宋体"/>
                <w:vertAlign w:val="baseline"/>
                <w:lang w:val="en-US" w:eastAsia="zh-CN" w:bidi="hi-IN"/>
              </w:rPr>
            </w:pPr>
          </w:p>
        </w:tc>
        <w:tc>
          <w:tcPr>
            <w:tcW w:w="0" w:type="auto"/>
            <w:vMerge w:val="restart"/>
            <w:vAlign w:val="center"/>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TDL-A</w:t>
            </w: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MCS23/21</w:t>
            </w:r>
          </w:p>
        </w:tc>
        <w:tc>
          <w:tcPr>
            <w:tcW w:w="1324" w:type="dxa"/>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18</w:t>
            </w:r>
          </w:p>
        </w:tc>
        <w:tc>
          <w:tcPr>
            <w:tcW w:w="0" w:type="auto"/>
            <w:vMerge w:val="continue"/>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eastAsia="宋体"/>
                <w:vertAlign w:val="baseline"/>
                <w:lang w:val="en-US" w:eastAsia="zh-CN" w:bidi="hi-IN"/>
              </w:rPr>
            </w:pPr>
          </w:p>
        </w:tc>
        <w:tc>
          <w:tcPr>
            <w:tcW w:w="0" w:type="auto"/>
            <w:vMerge w:val="continue"/>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eastAsia="宋体"/>
                <w:vertAlign w:val="baseline"/>
                <w:lang w:val="en-US" w:eastAsia="zh-CN" w:bidi="hi-IN"/>
              </w:rPr>
            </w:pPr>
          </w:p>
        </w:tc>
        <w:tc>
          <w:tcPr>
            <w:tcW w:w="0" w:type="auto"/>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szCs w:val="24"/>
                <w:vertAlign w:val="baseline"/>
                <w:lang w:val="en-US" w:eastAsia="zh-CN" w:bidi="hi-IN"/>
              </w:rPr>
            </w:pPr>
            <w:r>
              <w:rPr>
                <w:rFonts w:hint="eastAsia" w:eastAsia="宋体"/>
                <w:vertAlign w:val="baseline"/>
                <w:lang w:val="en-US" w:eastAsia="zh-CN" w:bidi="hi-IN"/>
              </w:rPr>
              <w:t>MCS24/23</w:t>
            </w:r>
          </w:p>
        </w:tc>
        <w:tc>
          <w:tcPr>
            <w:tcW w:w="1324" w:type="dxa"/>
            <w:vAlign w:val="top"/>
          </w:tcPr>
          <w:p>
            <w:pPr>
              <w:keepNext w:val="0"/>
              <w:keepLines w:val="0"/>
              <w:pageBreakBefore w:val="0"/>
              <w:widowControl/>
              <w:tabs>
                <w:tab w:val="left" w:pos="0"/>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Cs w:val="24"/>
                <w:vertAlign w:val="baseline"/>
                <w:lang w:val="en-US" w:eastAsia="zh-CN" w:bidi="hi-IN"/>
              </w:rPr>
            </w:pPr>
            <w:r>
              <w:rPr>
                <w:rFonts w:hint="eastAsia" w:eastAsia="宋体" w:cs="Times New Roman"/>
                <w:szCs w:val="24"/>
                <w:vertAlign w:val="baseline"/>
                <w:lang w:val="en-US" w:eastAsia="zh-CN" w:bidi="hi-IN"/>
              </w:rPr>
              <w:t>-</w:t>
            </w:r>
          </w:p>
        </w:tc>
      </w:tr>
    </w:tbl>
    <w:p>
      <w:pPr>
        <w:suppressAutoHyphens/>
        <w:spacing w:after="80" w:line="260" w:lineRule="auto"/>
        <w:rPr>
          <w:rFonts w:eastAsia="宋体"/>
          <w:bCs/>
          <w:szCs w:val="20"/>
          <w:lang w:eastAsia="zh-CN"/>
        </w:rPr>
      </w:pPr>
      <w:r>
        <w:rPr>
          <w:rFonts w:eastAsia="宋体"/>
          <w:bCs/>
          <w:szCs w:val="20"/>
          <w:lang w:eastAsia="zh-CN"/>
        </w:rPr>
        <w:t xml:space="preserve">Based on the </w:t>
      </w:r>
      <w:r>
        <w:rPr>
          <w:rFonts w:hint="eastAsia" w:eastAsia="宋体"/>
          <w:bCs/>
          <w:szCs w:val="20"/>
          <w:lang w:val="en-US" w:eastAsia="zh-CN"/>
        </w:rPr>
        <w:t>simulation results</w:t>
      </w:r>
      <w:r>
        <w:rPr>
          <w:rFonts w:eastAsia="宋体"/>
          <w:bCs/>
          <w:szCs w:val="20"/>
          <w:lang w:eastAsia="zh-CN"/>
        </w:rPr>
        <w:t xml:space="preserve">, the following </w:t>
      </w:r>
      <w:r>
        <w:rPr>
          <w:rFonts w:hint="eastAsia" w:eastAsia="宋体"/>
          <w:bCs/>
          <w:szCs w:val="20"/>
          <w:lang w:val="en-US" w:eastAsia="zh-CN"/>
        </w:rPr>
        <w:t>observations</w:t>
      </w:r>
      <w:r>
        <w:rPr>
          <w:rFonts w:eastAsia="宋体"/>
          <w:bCs/>
          <w:szCs w:val="20"/>
          <w:lang w:eastAsia="zh-CN"/>
        </w:rPr>
        <w:t xml:space="preserve"> </w:t>
      </w:r>
      <w:r>
        <w:rPr>
          <w:rFonts w:hint="eastAsia" w:eastAsia="宋体"/>
          <w:bCs/>
          <w:szCs w:val="20"/>
          <w:lang w:val="en-US" w:eastAsia="zh-CN"/>
        </w:rPr>
        <w:t xml:space="preserve">are </w:t>
      </w:r>
      <w:r>
        <w:rPr>
          <w:rFonts w:eastAsia="宋体"/>
          <w:bCs/>
          <w:szCs w:val="20"/>
          <w:lang w:eastAsia="zh-CN"/>
        </w:rPr>
        <w:t>given:</w:t>
      </w:r>
    </w:p>
    <w:p>
      <w:pPr>
        <w:spacing w:after="0" w:line="240" w:lineRule="auto"/>
        <w:rPr>
          <w:rFonts w:hint="eastAsia" w:eastAsia="宋体"/>
          <w:b/>
          <w:sz w:val="20"/>
          <w:szCs w:val="20"/>
          <w:lang w:val="en-US" w:eastAsia="zh-CN"/>
        </w:rPr>
      </w:pPr>
      <w:bookmarkStart w:id="4" w:name="OLE_LINK16"/>
      <w:bookmarkStart w:id="5" w:name="OLE_LINK10"/>
      <w:r>
        <w:rPr>
          <w:rFonts w:hint="eastAsia" w:ascii="Times New Roman" w:hAnsi="Times New Roman" w:eastAsia="宋体"/>
          <w:b/>
          <w:sz w:val="20"/>
          <w:szCs w:val="20"/>
          <w:lang w:val="en-US" w:eastAsia="zh-CN"/>
        </w:rPr>
        <w:t>Observation</w:t>
      </w:r>
      <w:r>
        <w:rPr>
          <w:rFonts w:hint="eastAsia" w:ascii="Times New Roman" w:hAnsi="Times New Roman"/>
          <w:b/>
          <w:sz w:val="20"/>
          <w:szCs w:val="20"/>
        </w:rPr>
        <w:t xml:space="preserve"> </w:t>
      </w:r>
      <w:r>
        <w:rPr>
          <w:rFonts w:hint="eastAsia" w:eastAsia="宋体"/>
          <w:b/>
          <w:sz w:val="20"/>
          <w:szCs w:val="20"/>
          <w:lang w:val="en-US" w:eastAsia="zh-CN"/>
        </w:rPr>
        <w:t>1</w:t>
      </w:r>
      <w:r>
        <w:rPr>
          <w:rFonts w:hint="eastAsia" w:ascii="Times New Roman" w:hAnsi="Times New Roman"/>
          <w:b/>
          <w:sz w:val="20"/>
          <w:szCs w:val="20"/>
        </w:rPr>
        <w:t>:</w:t>
      </w:r>
      <w:r>
        <w:rPr>
          <w:rFonts w:hint="eastAsia" w:eastAsia="宋体"/>
          <w:b/>
          <w:sz w:val="20"/>
          <w:szCs w:val="20"/>
          <w:lang w:val="en-US" w:eastAsia="zh-CN"/>
        </w:rPr>
        <w:t xml:space="preserve"> For 39GHz:</w:t>
      </w:r>
    </w:p>
    <w:bookmarkEnd w:id="4"/>
    <w:p>
      <w:pPr>
        <w:spacing w:after="120" w:line="240" w:lineRule="auto"/>
        <w:rPr>
          <w:rFonts w:hint="eastAsia" w:eastAsia="宋体"/>
          <w:b/>
          <w:sz w:val="20"/>
          <w:szCs w:val="20"/>
          <w:lang w:val="en-US" w:eastAsia="zh-CN"/>
        </w:rPr>
      </w:pPr>
      <w:r>
        <w:rPr>
          <w:rFonts w:hint="eastAsia" w:eastAsia="宋体"/>
          <w:b/>
          <w:sz w:val="20"/>
          <w:szCs w:val="20"/>
          <w:lang w:val="en-US" w:eastAsia="zh-CN"/>
        </w:rPr>
        <w:t>UL 256QAM performance gain can be expected in the following cases:</w:t>
      </w:r>
    </w:p>
    <w:p>
      <w:pPr>
        <w:numPr>
          <w:ilvl w:val="0"/>
          <w:numId w:val="6"/>
        </w:numPr>
        <w:spacing w:after="120" w:line="240" w:lineRule="auto"/>
        <w:ind w:left="840" w:hanging="420"/>
        <w:rPr>
          <w:rFonts w:hint="eastAsia" w:eastAsia="宋体"/>
          <w:b/>
          <w:sz w:val="20"/>
          <w:szCs w:val="20"/>
          <w:lang w:val="en-US" w:eastAsia="zh-CN"/>
        </w:rPr>
      </w:pPr>
      <w:r>
        <w:rPr>
          <w:rFonts w:hint="eastAsia" w:eastAsia="宋体"/>
          <w:b/>
          <w:sz w:val="20"/>
          <w:szCs w:val="20"/>
          <w:lang w:val="en-US" w:eastAsia="zh-CN"/>
        </w:rPr>
        <w:t>AWGN, TDL-D and TDL-A channel when MCS21(256QAM)/MCS23(64QAM) are selected</w:t>
      </w:r>
    </w:p>
    <w:p>
      <w:pPr>
        <w:numPr>
          <w:ilvl w:val="0"/>
          <w:numId w:val="6"/>
        </w:numPr>
        <w:spacing w:after="120" w:line="240" w:lineRule="auto"/>
        <w:ind w:left="840" w:hanging="420"/>
        <w:rPr>
          <w:rFonts w:hint="eastAsia" w:eastAsia="宋体"/>
          <w:b/>
          <w:sz w:val="20"/>
          <w:szCs w:val="20"/>
          <w:lang w:val="en-US" w:eastAsia="zh-CN"/>
        </w:rPr>
      </w:pPr>
      <w:r>
        <w:rPr>
          <w:rFonts w:hint="eastAsia" w:eastAsia="宋体"/>
          <w:b/>
          <w:sz w:val="20"/>
          <w:szCs w:val="20"/>
          <w:lang w:val="en-US" w:eastAsia="zh-CN"/>
        </w:rPr>
        <w:t>AWGN, TDL-D and TDL-A channel when MCS22(256QAM)/MCS24(64QAM) are selected</w:t>
      </w:r>
    </w:p>
    <w:p>
      <w:pPr>
        <w:numPr>
          <w:ilvl w:val="-1"/>
          <w:numId w:val="0"/>
        </w:numPr>
        <w:spacing w:after="0" w:line="240" w:lineRule="auto"/>
        <w:ind w:left="0" w:firstLine="0"/>
        <w:rPr>
          <w:rFonts w:hint="eastAsia" w:eastAsia="宋体"/>
          <w:b/>
          <w:sz w:val="20"/>
          <w:szCs w:val="20"/>
          <w:lang w:val="en-US" w:eastAsia="zh-CN"/>
        </w:rPr>
      </w:pPr>
      <w:r>
        <w:rPr>
          <w:rFonts w:hint="eastAsia" w:ascii="Times New Roman" w:hAnsi="Times New Roman" w:eastAsia="宋体"/>
          <w:b/>
          <w:sz w:val="20"/>
          <w:szCs w:val="20"/>
          <w:lang w:val="en-US" w:eastAsia="zh-CN"/>
        </w:rPr>
        <w:t>Observation</w:t>
      </w:r>
      <w:r>
        <w:rPr>
          <w:rFonts w:hint="eastAsia" w:ascii="Times New Roman" w:hAnsi="Times New Roman"/>
          <w:b/>
          <w:sz w:val="20"/>
          <w:szCs w:val="20"/>
        </w:rPr>
        <w:t xml:space="preserve"> </w:t>
      </w:r>
      <w:r>
        <w:rPr>
          <w:rFonts w:hint="eastAsia" w:eastAsia="宋体"/>
          <w:b/>
          <w:sz w:val="20"/>
          <w:szCs w:val="20"/>
          <w:lang w:val="en-US" w:eastAsia="zh-CN"/>
        </w:rPr>
        <w:t>2</w:t>
      </w:r>
      <w:r>
        <w:rPr>
          <w:rFonts w:hint="eastAsia" w:ascii="Times New Roman" w:hAnsi="Times New Roman"/>
          <w:b/>
          <w:sz w:val="20"/>
          <w:szCs w:val="20"/>
        </w:rPr>
        <w:t>:</w:t>
      </w:r>
      <w:r>
        <w:rPr>
          <w:rFonts w:hint="eastAsia" w:eastAsia="宋体"/>
          <w:b/>
          <w:sz w:val="20"/>
          <w:szCs w:val="20"/>
          <w:lang w:val="en-US" w:eastAsia="zh-CN"/>
        </w:rPr>
        <w:t xml:space="preserve"> UL 256QAM performance gain can not be expected for 48GHz. </w:t>
      </w:r>
    </w:p>
    <w:bookmarkEnd w:id="5"/>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System level simulation</w:t>
      </w:r>
    </w:p>
    <w:p>
      <w:pPr>
        <w:jc w:val="both"/>
        <w:rPr>
          <w:rFonts w:hint="eastAsia" w:eastAsia="宋体"/>
          <w:b w:val="0"/>
          <w:sz w:val="20"/>
          <w:szCs w:val="24"/>
          <w:lang w:val="en-US" w:eastAsia="zh-CN"/>
        </w:rPr>
      </w:pPr>
      <w:r>
        <w:rPr>
          <w:rFonts w:hint="eastAsia" w:eastAsia="宋体"/>
          <w:b w:val="0"/>
          <w:sz w:val="20"/>
          <w:szCs w:val="24"/>
          <w:lang w:val="en-US" w:eastAsia="zh-CN"/>
        </w:rPr>
        <w:t>For system level simulation assumption, the following were agreed in last meeting.</w:t>
      </w:r>
    </w:p>
    <w:p>
      <w:pPr>
        <w:pStyle w:val="37"/>
        <w:adjustRightInd w:val="0"/>
        <w:snapToGrid w:val="0"/>
        <w:spacing w:line="240" w:lineRule="auto"/>
        <w:rPr>
          <w:rFonts w:hint="default" w:eastAsia="宋体"/>
          <w:b/>
          <w:sz w:val="20"/>
          <w:szCs w:val="20"/>
          <w:lang w:val="en-US" w:eastAsia="zh-CN"/>
        </w:rPr>
      </w:pPr>
      <w:r>
        <w:rPr>
          <w:rFonts w:hint="default" w:eastAsia="宋体"/>
          <w:b/>
          <w:sz w:val="20"/>
          <w:szCs w:val="20"/>
          <w:lang w:val="en-US" w:eastAsia="zh-CN"/>
        </w:rPr>
        <w:t>Table 2. System level simulation assumption reached in RAN4 #104bis-e.</w:t>
      </w:r>
    </w:p>
    <w:tbl>
      <w:tblPr>
        <w:tblStyle w:val="17"/>
        <w:tblW w:w="9950" w:type="dxa"/>
        <w:jc w:val="center"/>
        <w:tblLayout w:type="autofit"/>
        <w:tblCellMar>
          <w:top w:w="0" w:type="dxa"/>
          <w:left w:w="0" w:type="dxa"/>
          <w:bottom w:w="0" w:type="dxa"/>
          <w:right w:w="0" w:type="dxa"/>
        </w:tblCellMar>
      </w:tblPr>
      <w:tblGrid>
        <w:gridCol w:w="1248"/>
        <w:gridCol w:w="2855"/>
        <w:gridCol w:w="3033"/>
        <w:gridCol w:w="2814"/>
      </w:tblGrid>
      <w:tr>
        <w:tblPrEx>
          <w:tblCellMar>
            <w:top w:w="0" w:type="dxa"/>
            <w:left w:w="0" w:type="dxa"/>
            <w:bottom w:w="0" w:type="dxa"/>
            <w:right w:w="0" w:type="dxa"/>
          </w:tblCellMar>
        </w:tblPrEx>
        <w:trPr>
          <w:trHeight w:val="159"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top"/>
          </w:tcPr>
          <w:p>
            <w:pPr>
              <w:adjustRightInd w:val="0"/>
              <w:snapToGrid w:val="0"/>
              <w:spacing w:after="0" w:line="240" w:lineRule="auto"/>
              <w:jc w:val="center"/>
              <w:rPr>
                <w:rFonts w:ascii="Times New Roman" w:hAnsi="Times New Roman" w:eastAsia="MS PGothic" w:cs="Times New Roman"/>
                <w:lang w:eastAsia="ja-JP"/>
              </w:rPr>
            </w:pPr>
            <w:r>
              <w:rPr>
                <w:rFonts w:ascii="Times New Roman" w:hAnsi="Times New Roman" w:cs="Times New Roman"/>
                <w:b/>
                <w:bCs/>
                <w:kern w:val="24"/>
                <w:lang w:eastAsia="ja-JP"/>
              </w:rPr>
              <w:t>Parameters</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top"/>
          </w:tcPr>
          <w:p>
            <w:pPr>
              <w:adjustRightInd w:val="0"/>
              <w:snapToGrid w:val="0"/>
              <w:spacing w:after="0" w:line="240" w:lineRule="auto"/>
              <w:jc w:val="center"/>
              <w:rPr>
                <w:rFonts w:ascii="Times New Roman" w:hAnsi="Times New Roman" w:cs="Times New Roman"/>
                <w:b/>
                <w:bCs/>
                <w:kern w:val="24"/>
                <w:lang w:eastAsia="ja-JP"/>
              </w:rPr>
            </w:pPr>
            <w:r>
              <w:rPr>
                <w:rFonts w:ascii="Times New Roman" w:hAnsi="Times New Roman" w:cs="Times New Roman"/>
                <w:b/>
                <w:bCs/>
                <w:kern w:val="24"/>
                <w:lang w:eastAsia="ja-JP"/>
              </w:rPr>
              <w:t>Urban macro</w:t>
            </w:r>
          </w:p>
        </w:tc>
        <w:tc>
          <w:tcPr>
            <w:tcW w:w="2814" w:type="dxa"/>
            <w:tcBorders>
              <w:top w:val="single" w:color="000000" w:sz="8" w:space="0"/>
              <w:left w:val="single" w:color="000000" w:sz="8" w:space="0"/>
              <w:bottom w:val="single" w:color="000000" w:sz="8" w:space="0"/>
              <w:right w:val="single" w:color="000000" w:sz="8" w:space="0"/>
            </w:tcBorders>
            <w:noWrap w:val="0"/>
            <w:vAlign w:val="top"/>
          </w:tcPr>
          <w:p>
            <w:pPr>
              <w:adjustRightInd w:val="0"/>
              <w:snapToGrid w:val="0"/>
              <w:spacing w:after="0" w:line="240" w:lineRule="auto"/>
              <w:jc w:val="center"/>
              <w:rPr>
                <w:rFonts w:ascii="Times New Roman" w:hAnsi="Times New Roman" w:cs="Times New Roman"/>
                <w:b/>
                <w:bCs/>
                <w:kern w:val="24"/>
              </w:rPr>
            </w:pPr>
            <w:r>
              <w:rPr>
                <w:rFonts w:hint="default" w:ascii="Times New Roman" w:hAnsi="Times New Roman" w:cs="Times New Roman"/>
                <w:b/>
                <w:bCs/>
                <w:kern w:val="24"/>
              </w:rPr>
              <w:t>I</w:t>
            </w:r>
            <w:r>
              <w:rPr>
                <w:rFonts w:ascii="Times New Roman" w:hAnsi="Times New Roman" w:cs="Times New Roman"/>
                <w:b/>
                <w:bCs/>
                <w:kern w:val="24"/>
              </w:rPr>
              <w:t>ndoor</w:t>
            </w:r>
          </w:p>
        </w:tc>
      </w:tr>
      <w:tr>
        <w:tblPrEx>
          <w:tblCellMar>
            <w:top w:w="0" w:type="dxa"/>
            <w:left w:w="0" w:type="dxa"/>
            <w:bottom w:w="0" w:type="dxa"/>
            <w:right w:w="0" w:type="dxa"/>
          </w:tblCellMar>
        </w:tblPrEx>
        <w:trPr>
          <w:trHeight w:val="159"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Network layout</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hexagonal grid, 19 macro sites, 3 sectors per site with wrap around</w:t>
            </w:r>
          </w:p>
        </w:tc>
        <w:tc>
          <w:tcPr>
            <w:tcW w:w="2814" w:type="dxa"/>
            <w:tcBorders>
              <w:top w:val="single" w:color="000000" w:sz="8" w:space="0"/>
              <w:left w:val="single" w:color="000000" w:sz="8" w:space="0"/>
              <w:bottom w:val="single" w:color="000000" w:sz="8" w:space="0"/>
              <w:right w:val="single" w:color="000000" w:sz="8" w:space="0"/>
            </w:tcBorders>
            <w:noWrap w:val="0"/>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50m x 120m, 12BSs</w:t>
            </w:r>
          </w:p>
        </w:tc>
      </w:tr>
      <w:tr>
        <w:tblPrEx>
          <w:tblCellMar>
            <w:top w:w="0" w:type="dxa"/>
            <w:left w:w="0" w:type="dxa"/>
            <w:bottom w:w="0" w:type="dxa"/>
            <w:right w:w="0" w:type="dxa"/>
          </w:tblCellMar>
        </w:tblPrEx>
        <w:trPr>
          <w:trHeight w:val="159"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Inter-site distance</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200m (baseline)</w:t>
            </w:r>
          </w:p>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300m (optional)</w:t>
            </w:r>
          </w:p>
        </w:tc>
        <w:tc>
          <w:tcPr>
            <w:tcW w:w="2814" w:type="dxa"/>
            <w:tcBorders>
              <w:top w:val="single" w:color="000000" w:sz="8" w:space="0"/>
              <w:left w:val="single" w:color="000000" w:sz="8" w:space="0"/>
              <w:bottom w:val="single" w:color="000000" w:sz="8" w:space="0"/>
              <w:right w:val="single" w:color="000000" w:sz="8" w:space="0"/>
            </w:tcBorders>
            <w:noWrap w:val="0"/>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20m</w:t>
            </w:r>
          </w:p>
        </w:tc>
      </w:tr>
      <w:tr>
        <w:tblPrEx>
          <w:tblCellMar>
            <w:top w:w="0" w:type="dxa"/>
            <w:left w:w="0" w:type="dxa"/>
            <w:bottom w:w="0" w:type="dxa"/>
            <w:right w:w="0" w:type="dxa"/>
          </w:tblCellMar>
        </w:tblPrEx>
        <w:trPr>
          <w:trHeight w:val="159"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BS antenna height</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25 m</w:t>
            </w:r>
          </w:p>
        </w:tc>
        <w:tc>
          <w:tcPr>
            <w:tcW w:w="2814" w:type="dxa"/>
            <w:tcBorders>
              <w:top w:val="single" w:color="000000" w:sz="8" w:space="0"/>
              <w:left w:val="single" w:color="000000" w:sz="8" w:space="0"/>
              <w:bottom w:val="single" w:color="000000" w:sz="8" w:space="0"/>
              <w:right w:val="single" w:color="000000" w:sz="8" w:space="0"/>
            </w:tcBorders>
            <w:noWrap w:val="0"/>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3 m</w:t>
            </w:r>
          </w:p>
        </w:tc>
      </w:tr>
      <w:tr>
        <w:tblPrEx>
          <w:tblCellMar>
            <w:top w:w="0" w:type="dxa"/>
            <w:left w:w="0" w:type="dxa"/>
            <w:bottom w:w="0" w:type="dxa"/>
            <w:right w:w="0" w:type="dxa"/>
          </w:tblCellMar>
        </w:tblPrEx>
        <w:trPr>
          <w:trHeight w:val="159" w:hRule="atLeast"/>
          <w:jc w:val="center"/>
        </w:trPr>
        <w:tc>
          <w:tcPr>
            <w:tcW w:w="1248" w:type="dxa"/>
            <w:vMerge w:val="restart"/>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UE location</w:t>
            </w:r>
          </w:p>
        </w:tc>
        <w:tc>
          <w:tcPr>
            <w:tcW w:w="2855"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Outdoor/indoor</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Outdoor and indoor</w:t>
            </w:r>
          </w:p>
        </w:tc>
        <w:tc>
          <w:tcPr>
            <w:tcW w:w="2814" w:type="dxa"/>
            <w:tcBorders>
              <w:top w:val="single" w:color="000000" w:sz="8" w:space="0"/>
              <w:left w:val="single" w:color="000000" w:sz="8" w:space="0"/>
              <w:bottom w:val="single" w:color="000000" w:sz="8" w:space="0"/>
              <w:right w:val="single" w:color="000000" w:sz="8" w:space="0"/>
            </w:tcBorders>
            <w:noWrap w:val="0"/>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Indoor</w:t>
            </w:r>
          </w:p>
        </w:tc>
      </w:tr>
      <w:tr>
        <w:tblPrEx>
          <w:tblCellMar>
            <w:top w:w="0" w:type="dxa"/>
            <w:left w:w="0" w:type="dxa"/>
            <w:bottom w:w="0" w:type="dxa"/>
            <w:right w:w="0" w:type="dxa"/>
          </w:tblCellMar>
        </w:tblPrEx>
        <w:trPr>
          <w:trHeight w:val="159" w:hRule="atLeast"/>
          <w:jc w:val="center"/>
        </w:trPr>
        <w:tc>
          <w:tcPr>
            <w:tcW w:w="1248" w:type="dxa"/>
            <w:vMerge w:val="continue"/>
            <w:tcBorders>
              <w:top w:val="single" w:color="000000" w:sz="8" w:space="0"/>
              <w:left w:val="single" w:color="000000" w:sz="8" w:space="0"/>
              <w:bottom w:val="single" w:color="000000" w:sz="8" w:space="0"/>
              <w:right w:val="single" w:color="000000" w:sz="8" w:space="0"/>
            </w:tcBorders>
            <w:noWrap w:val="0"/>
            <w:vAlign w:val="center"/>
          </w:tcPr>
          <w:p>
            <w:pPr>
              <w:adjustRightInd w:val="0"/>
              <w:snapToGrid w:val="0"/>
              <w:spacing w:after="0" w:line="240" w:lineRule="auto"/>
              <w:jc w:val="center"/>
              <w:rPr>
                <w:rFonts w:ascii="Times New Roman" w:hAnsi="Times New Roman" w:cs="Times New Roman"/>
                <w:kern w:val="24"/>
                <w:lang w:eastAsia="ja-JP"/>
              </w:rPr>
            </w:pPr>
          </w:p>
        </w:tc>
        <w:tc>
          <w:tcPr>
            <w:tcW w:w="2855"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Indoor UE ratio</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20%</w:t>
            </w:r>
          </w:p>
        </w:tc>
        <w:tc>
          <w:tcPr>
            <w:tcW w:w="2814" w:type="dxa"/>
            <w:tcBorders>
              <w:top w:val="single" w:color="000000" w:sz="8" w:space="0"/>
              <w:left w:val="single" w:color="000000" w:sz="8" w:space="0"/>
              <w:bottom w:val="single" w:color="000000" w:sz="8" w:space="0"/>
              <w:right w:val="single" w:color="000000" w:sz="8" w:space="0"/>
              <w:tl2br w:val="single" w:color="auto" w:sz="4" w:space="0"/>
            </w:tcBorders>
            <w:noWrap w:val="0"/>
            <w:vAlign w:val="top"/>
          </w:tcPr>
          <w:p>
            <w:pPr>
              <w:adjustRightInd w:val="0"/>
              <w:snapToGrid w:val="0"/>
              <w:spacing w:after="0" w:line="240" w:lineRule="auto"/>
              <w:jc w:val="center"/>
              <w:rPr>
                <w:rFonts w:ascii="Times New Roman" w:hAnsi="Times New Roman" w:cs="Times New Roman"/>
                <w:kern w:val="24"/>
                <w:lang w:eastAsia="ja-JP"/>
              </w:rPr>
            </w:pPr>
          </w:p>
        </w:tc>
      </w:tr>
      <w:tr>
        <w:tblPrEx>
          <w:tblCellMar>
            <w:top w:w="0" w:type="dxa"/>
            <w:left w:w="0" w:type="dxa"/>
            <w:bottom w:w="0" w:type="dxa"/>
            <w:right w:w="0" w:type="dxa"/>
          </w:tblCellMar>
        </w:tblPrEx>
        <w:trPr>
          <w:trHeight w:val="159" w:hRule="atLeast"/>
          <w:jc w:val="center"/>
        </w:trPr>
        <w:tc>
          <w:tcPr>
            <w:tcW w:w="1248" w:type="dxa"/>
            <w:vMerge w:val="continue"/>
            <w:tcBorders>
              <w:top w:val="single" w:color="000000" w:sz="8" w:space="0"/>
              <w:left w:val="single" w:color="000000" w:sz="8" w:space="0"/>
              <w:bottom w:val="single" w:color="000000" w:sz="8" w:space="0"/>
              <w:right w:val="single" w:color="000000" w:sz="8" w:space="0"/>
            </w:tcBorders>
            <w:noWrap w:val="0"/>
            <w:vAlign w:val="center"/>
          </w:tcPr>
          <w:p>
            <w:pPr>
              <w:adjustRightInd w:val="0"/>
              <w:snapToGrid w:val="0"/>
              <w:spacing w:after="0" w:line="240" w:lineRule="auto"/>
              <w:jc w:val="center"/>
              <w:rPr>
                <w:rFonts w:ascii="Times New Roman" w:hAnsi="Times New Roman" w:cs="Times New Roman"/>
                <w:kern w:val="24"/>
                <w:lang w:eastAsia="ja-JP"/>
              </w:rPr>
            </w:pPr>
          </w:p>
        </w:tc>
        <w:tc>
          <w:tcPr>
            <w:tcW w:w="2855"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Low/high Penetration loss ratio</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50% low loss, 50% high loss</w:t>
            </w:r>
          </w:p>
        </w:tc>
        <w:tc>
          <w:tcPr>
            <w:tcW w:w="2814" w:type="dxa"/>
            <w:tcBorders>
              <w:top w:val="single" w:color="000000" w:sz="8" w:space="0"/>
              <w:left w:val="single" w:color="000000" w:sz="8" w:space="0"/>
              <w:bottom w:val="single" w:color="000000" w:sz="8" w:space="0"/>
              <w:right w:val="single" w:color="000000" w:sz="8" w:space="0"/>
              <w:tl2br w:val="single" w:color="auto" w:sz="4" w:space="0"/>
            </w:tcBorders>
            <w:noWrap w:val="0"/>
            <w:vAlign w:val="top"/>
          </w:tcPr>
          <w:p>
            <w:pPr>
              <w:adjustRightInd w:val="0"/>
              <w:snapToGrid w:val="0"/>
              <w:spacing w:after="0" w:line="240" w:lineRule="auto"/>
              <w:jc w:val="center"/>
              <w:rPr>
                <w:rFonts w:ascii="Times New Roman" w:hAnsi="Times New Roman" w:cs="Times New Roman"/>
                <w:kern w:val="24"/>
                <w:lang w:eastAsia="ja-JP"/>
              </w:rPr>
            </w:pPr>
          </w:p>
        </w:tc>
      </w:tr>
      <w:tr>
        <w:tblPrEx>
          <w:tblCellMar>
            <w:top w:w="0" w:type="dxa"/>
            <w:left w:w="0" w:type="dxa"/>
            <w:bottom w:w="0" w:type="dxa"/>
            <w:right w:w="0" w:type="dxa"/>
          </w:tblCellMar>
        </w:tblPrEx>
        <w:trPr>
          <w:trHeight w:val="159" w:hRule="atLeast"/>
          <w:jc w:val="center"/>
        </w:trPr>
        <w:tc>
          <w:tcPr>
            <w:tcW w:w="1248" w:type="dxa"/>
            <w:vMerge w:val="continue"/>
            <w:tcBorders>
              <w:top w:val="single" w:color="000000" w:sz="8" w:space="0"/>
              <w:left w:val="single" w:color="000000" w:sz="8" w:space="0"/>
              <w:bottom w:val="single" w:color="000000" w:sz="8" w:space="0"/>
              <w:right w:val="single" w:color="000000" w:sz="8" w:space="0"/>
            </w:tcBorders>
            <w:noWrap w:val="0"/>
            <w:vAlign w:val="center"/>
          </w:tcPr>
          <w:p>
            <w:pPr>
              <w:adjustRightInd w:val="0"/>
              <w:snapToGrid w:val="0"/>
              <w:spacing w:after="0" w:line="240" w:lineRule="auto"/>
              <w:jc w:val="center"/>
              <w:rPr>
                <w:rFonts w:ascii="Times New Roman" w:hAnsi="Times New Roman" w:cs="Times New Roman"/>
                <w:kern w:val="24"/>
                <w:lang w:eastAsia="ja-JP"/>
              </w:rPr>
            </w:pPr>
          </w:p>
        </w:tc>
        <w:tc>
          <w:tcPr>
            <w:tcW w:w="2855"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LOS/NLOS</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LOS and NLOS</w:t>
            </w:r>
          </w:p>
        </w:tc>
        <w:tc>
          <w:tcPr>
            <w:tcW w:w="2814" w:type="dxa"/>
            <w:tcBorders>
              <w:top w:val="single" w:color="000000" w:sz="8" w:space="0"/>
              <w:left w:val="single" w:color="000000" w:sz="8" w:space="0"/>
              <w:bottom w:val="single" w:color="000000" w:sz="8" w:space="0"/>
              <w:right w:val="single" w:color="000000" w:sz="8" w:space="0"/>
            </w:tcBorders>
            <w:noWrap w:val="0"/>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LOS and NLOS</w:t>
            </w:r>
          </w:p>
        </w:tc>
      </w:tr>
      <w:tr>
        <w:tblPrEx>
          <w:tblCellMar>
            <w:top w:w="0" w:type="dxa"/>
            <w:left w:w="0" w:type="dxa"/>
            <w:bottom w:w="0" w:type="dxa"/>
            <w:right w:w="0" w:type="dxa"/>
          </w:tblCellMar>
        </w:tblPrEx>
        <w:trPr>
          <w:trHeight w:val="159" w:hRule="atLeast"/>
          <w:jc w:val="center"/>
        </w:trPr>
        <w:tc>
          <w:tcPr>
            <w:tcW w:w="1248" w:type="dxa"/>
            <w:vMerge w:val="continue"/>
            <w:tcBorders>
              <w:top w:val="single" w:color="000000" w:sz="8" w:space="0"/>
              <w:left w:val="single" w:color="000000" w:sz="8" w:space="0"/>
              <w:bottom w:val="single" w:color="000000" w:sz="8" w:space="0"/>
              <w:right w:val="single" w:color="000000" w:sz="8" w:space="0"/>
            </w:tcBorders>
            <w:noWrap w:val="0"/>
            <w:vAlign w:val="center"/>
          </w:tcPr>
          <w:p>
            <w:pPr>
              <w:adjustRightInd w:val="0"/>
              <w:snapToGrid w:val="0"/>
              <w:spacing w:after="0" w:line="240" w:lineRule="auto"/>
              <w:jc w:val="center"/>
              <w:rPr>
                <w:rFonts w:ascii="Times New Roman" w:hAnsi="Times New Roman" w:cs="Times New Roman"/>
                <w:kern w:val="24"/>
                <w:lang w:eastAsia="ja-JP"/>
              </w:rPr>
            </w:pPr>
          </w:p>
        </w:tc>
        <w:tc>
          <w:tcPr>
            <w:tcW w:w="2855"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UE antenna height</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Same as 3D-Uma in TR 36.873</w:t>
            </w:r>
          </w:p>
        </w:tc>
        <w:tc>
          <w:tcPr>
            <w:tcW w:w="2814" w:type="dxa"/>
            <w:tcBorders>
              <w:top w:val="single" w:color="000000" w:sz="8" w:space="0"/>
              <w:left w:val="single" w:color="000000" w:sz="8" w:space="0"/>
              <w:bottom w:val="single" w:color="000000" w:sz="8" w:space="0"/>
              <w:right w:val="single" w:color="000000" w:sz="8" w:space="0"/>
            </w:tcBorders>
            <w:noWrap w:val="0"/>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 xml:space="preserve"> 1.5 m</w:t>
            </w:r>
          </w:p>
        </w:tc>
      </w:tr>
      <w:tr>
        <w:tblPrEx>
          <w:tblCellMar>
            <w:top w:w="0" w:type="dxa"/>
            <w:left w:w="0" w:type="dxa"/>
            <w:bottom w:w="0" w:type="dxa"/>
            <w:right w:w="0" w:type="dxa"/>
          </w:tblCellMar>
        </w:tblPrEx>
        <w:trPr>
          <w:trHeight w:val="159"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UE distribution (horizontal)</w:t>
            </w:r>
          </w:p>
        </w:tc>
        <w:tc>
          <w:tcPr>
            <w:tcW w:w="5847"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Uniform</w:t>
            </w:r>
          </w:p>
        </w:tc>
      </w:tr>
      <w:tr>
        <w:tblPrEx>
          <w:tblCellMar>
            <w:top w:w="0" w:type="dxa"/>
            <w:left w:w="0" w:type="dxa"/>
            <w:bottom w:w="0" w:type="dxa"/>
            <w:right w:w="0" w:type="dxa"/>
          </w:tblCellMar>
        </w:tblPrEx>
        <w:trPr>
          <w:trHeight w:val="159"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val="fr-FR" w:eastAsia="ja-JP"/>
              </w:rPr>
            </w:pPr>
            <w:r>
              <w:rPr>
                <w:rFonts w:ascii="Times New Roman" w:hAnsi="Times New Roman" w:cs="Times New Roman"/>
                <w:kern w:val="24"/>
                <w:lang w:val="fr-FR" w:eastAsia="ja-JP"/>
              </w:rPr>
              <w:t>Minimum BS – UE distance (2D)</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35 m</w:t>
            </w:r>
          </w:p>
        </w:tc>
        <w:tc>
          <w:tcPr>
            <w:tcW w:w="2814" w:type="dxa"/>
            <w:tcBorders>
              <w:top w:val="single" w:color="000000" w:sz="8" w:space="0"/>
              <w:left w:val="single" w:color="000000" w:sz="8" w:space="0"/>
              <w:bottom w:val="single" w:color="000000" w:sz="8" w:space="0"/>
              <w:right w:val="single" w:color="000000" w:sz="8" w:space="0"/>
            </w:tcBorders>
            <w:noWrap w:val="0"/>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0 m</w:t>
            </w:r>
          </w:p>
        </w:tc>
      </w:tr>
      <w:tr>
        <w:tblPrEx>
          <w:tblCellMar>
            <w:top w:w="0" w:type="dxa"/>
            <w:left w:w="0" w:type="dxa"/>
            <w:bottom w:w="0" w:type="dxa"/>
            <w:right w:w="0" w:type="dxa"/>
          </w:tblCellMar>
        </w:tblPrEx>
        <w:trPr>
          <w:trHeight w:val="512"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Shadowing correlation</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Between cells: 1.0</w:t>
            </w:r>
          </w:p>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Between sites: 0.5</w:t>
            </w:r>
          </w:p>
        </w:tc>
        <w:tc>
          <w:tcPr>
            <w:tcW w:w="2814" w:type="dxa"/>
            <w:tcBorders>
              <w:top w:val="single" w:color="000000" w:sz="8" w:space="0"/>
              <w:left w:val="single" w:color="000000" w:sz="8" w:space="0"/>
              <w:bottom w:val="single" w:color="000000" w:sz="8" w:space="0"/>
              <w:right w:val="single" w:color="000000" w:sz="8" w:space="0"/>
              <w:tl2br w:val="single" w:color="auto" w:sz="4" w:space="0"/>
            </w:tcBorders>
            <w:noWrap w:val="0"/>
            <w:vAlign w:val="top"/>
          </w:tcPr>
          <w:p>
            <w:pPr>
              <w:adjustRightInd w:val="0"/>
              <w:snapToGrid w:val="0"/>
              <w:spacing w:after="0" w:line="240" w:lineRule="auto"/>
              <w:jc w:val="center"/>
              <w:rPr>
                <w:rFonts w:ascii="Times New Roman" w:hAnsi="Times New Roman" w:cs="Times New Roman"/>
                <w:kern w:val="24"/>
                <w:lang w:eastAsia="ja-JP"/>
              </w:rPr>
            </w:pPr>
          </w:p>
        </w:tc>
      </w:tr>
      <w:tr>
        <w:tblPrEx>
          <w:tblCellMar>
            <w:top w:w="0" w:type="dxa"/>
            <w:left w:w="0" w:type="dxa"/>
            <w:bottom w:w="0" w:type="dxa"/>
            <w:right w:w="0" w:type="dxa"/>
          </w:tblCellMar>
        </w:tblPrEx>
        <w:trPr>
          <w:trHeight w:val="499"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 xml:space="preserve">Pathloss </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Uma LOS and NLOS in table 5.2.2.1-1 of 38.803</w:t>
            </w:r>
          </w:p>
        </w:tc>
        <w:tc>
          <w:tcPr>
            <w:tcW w:w="2814" w:type="dxa"/>
            <w:tcBorders>
              <w:top w:val="single" w:color="000000" w:sz="8" w:space="0"/>
              <w:left w:val="single" w:color="000000" w:sz="8" w:space="0"/>
              <w:bottom w:val="single" w:color="000000" w:sz="8" w:space="0"/>
              <w:right w:val="single" w:color="000000" w:sz="8" w:space="0"/>
            </w:tcBorders>
            <w:noWrap w:val="0"/>
            <w:vAlign w:val="top"/>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InH – Office LOS and NLOS in table 5.2.2.1-1 of 38.803</w:t>
            </w:r>
          </w:p>
        </w:tc>
      </w:tr>
      <w:tr>
        <w:tblPrEx>
          <w:tblCellMar>
            <w:top w:w="0" w:type="dxa"/>
            <w:left w:w="0" w:type="dxa"/>
            <w:bottom w:w="0" w:type="dxa"/>
            <w:right w:w="0" w:type="dxa"/>
          </w:tblCellMar>
        </w:tblPrEx>
        <w:trPr>
          <w:trHeight w:val="499"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Carrier frequency</w:t>
            </w:r>
          </w:p>
        </w:tc>
        <w:tc>
          <w:tcPr>
            <w:tcW w:w="5847"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zh-CN"/>
              </w:rPr>
            </w:pPr>
            <w:r>
              <w:rPr>
                <w:rFonts w:ascii="Times New Roman" w:hAnsi="Times New Roman" w:cs="Times New Roman"/>
                <w:kern w:val="24"/>
                <w:lang w:eastAsia="ja-JP"/>
              </w:rPr>
              <w:t>29GHz</w:t>
            </w:r>
            <w:r>
              <w:rPr>
                <w:rFonts w:hint="default" w:ascii="Times New Roman" w:hAnsi="Times New Roman" w:cs="Times New Roman"/>
                <w:kern w:val="24"/>
                <w:lang w:eastAsia="zh-CN"/>
              </w:rPr>
              <w:t>,</w:t>
            </w:r>
            <w:r>
              <w:rPr>
                <w:rFonts w:ascii="Times New Roman" w:hAnsi="Times New Roman" w:cs="Times New Roman"/>
                <w:kern w:val="24"/>
                <w:lang w:eastAsia="zh-CN"/>
              </w:rPr>
              <w:t xml:space="preserve"> 39GHz</w:t>
            </w:r>
          </w:p>
        </w:tc>
      </w:tr>
      <w:tr>
        <w:tblPrEx>
          <w:tblCellMar>
            <w:top w:w="0" w:type="dxa"/>
            <w:left w:w="0" w:type="dxa"/>
            <w:bottom w:w="0" w:type="dxa"/>
            <w:right w:w="0" w:type="dxa"/>
          </w:tblCellMar>
        </w:tblPrEx>
        <w:trPr>
          <w:trHeight w:val="256"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BS antenna configuration</w:t>
            </w:r>
          </w:p>
        </w:tc>
        <w:tc>
          <w:tcPr>
            <w:tcW w:w="303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(Mg, Ng, M, N, P) = (1, 1, 8, 16, 2)</w:t>
            </w:r>
          </w:p>
          <w:p>
            <w:pPr>
              <w:adjustRightInd w:val="0"/>
              <w:snapToGrid w:val="0"/>
              <w:spacing w:after="0" w:line="240" w:lineRule="auto"/>
              <w:jc w:val="center"/>
              <w:rPr>
                <w:rFonts w:ascii="Times New Roman" w:hAnsi="Times New Roman" w:cs="Times New Roman"/>
                <w:kern w:val="24"/>
                <w:lang w:val="fr-FR" w:eastAsia="ja-JP"/>
              </w:rPr>
            </w:pPr>
            <w:r>
              <w:rPr>
                <w:rFonts w:ascii="Times New Roman" w:hAnsi="Times New Roman" w:cs="Times New Roman"/>
                <w:kern w:val="24"/>
                <w:lang w:val="fr-FR" w:eastAsia="ja-JP"/>
              </w:rPr>
              <w:t>(dv, dh) = (0.5</w:t>
            </w:r>
            <w:r>
              <w:rPr>
                <w:rFonts w:ascii="Times New Roman" w:hAnsi="Times New Roman" w:cs="Times New Roman"/>
                <w:kern w:val="24"/>
                <w:lang w:eastAsia="ja-JP"/>
              </w:rPr>
              <w:t>λ</w:t>
            </w:r>
            <w:r>
              <w:rPr>
                <w:rFonts w:ascii="Times New Roman" w:hAnsi="Times New Roman" w:cs="Times New Roman"/>
                <w:kern w:val="24"/>
                <w:lang w:val="fr-FR" w:eastAsia="ja-JP"/>
              </w:rPr>
              <w:t>, 0.5</w:t>
            </w:r>
            <w:r>
              <w:rPr>
                <w:rFonts w:ascii="Times New Roman" w:hAnsi="Times New Roman" w:cs="Times New Roman"/>
                <w:kern w:val="24"/>
                <w:lang w:eastAsia="ja-JP"/>
              </w:rPr>
              <w:t>λ</w:t>
            </w:r>
            <w:r>
              <w:rPr>
                <w:rFonts w:ascii="Times New Roman" w:hAnsi="Times New Roman" w:cs="Times New Roman"/>
                <w:kern w:val="24"/>
                <w:lang w:val="fr-FR" w:eastAsia="ja-JP"/>
              </w:rPr>
              <w:t>)</w:t>
            </w:r>
          </w:p>
          <w:p>
            <w:pPr>
              <w:adjustRightInd w:val="0"/>
              <w:snapToGrid w:val="0"/>
              <w:spacing w:after="0" w:line="240" w:lineRule="auto"/>
              <w:jc w:val="center"/>
              <w:rPr>
                <w:rFonts w:ascii="Times New Roman" w:hAnsi="Times New Roman" w:cs="Times New Roman"/>
                <w:kern w:val="24"/>
                <w:lang w:val="fr-FR" w:eastAsia="ja-JP"/>
              </w:rPr>
            </w:pPr>
            <w:r>
              <w:rPr>
                <w:rFonts w:ascii="Times New Roman" w:hAnsi="Times New Roman" w:cs="Times New Roman"/>
                <w:kern w:val="24"/>
                <w:lang w:val="fr-FR" w:eastAsia="ja-JP"/>
              </w:rPr>
              <w:t>GE,max = 8 dBi</w:t>
            </w:r>
          </w:p>
        </w:tc>
        <w:tc>
          <w:tcPr>
            <w:tcW w:w="2814" w:type="dxa"/>
            <w:tcBorders>
              <w:top w:val="single" w:color="000000" w:sz="8" w:space="0"/>
              <w:left w:val="single" w:color="000000" w:sz="8" w:space="0"/>
              <w:bottom w:val="single" w:color="000000" w:sz="8" w:space="0"/>
              <w:right w:val="single" w:color="000000" w:sz="8" w:space="0"/>
            </w:tcBorders>
            <w:noWrap w:val="0"/>
            <w:vAlign w:val="top"/>
          </w:tcPr>
          <w:p>
            <w:pPr>
              <w:adjustRightInd w:val="0"/>
              <w:snapToGrid w:val="0"/>
              <w:spacing w:after="0" w:line="240" w:lineRule="auto"/>
              <w:jc w:val="center"/>
              <w:rPr>
                <w:rFonts w:ascii="Times New Roman" w:hAnsi="Times New Roman" w:cs="Times New Roman"/>
                <w:kern w:val="24"/>
                <w:lang w:val="fr-FR" w:eastAsia="ja-JP"/>
              </w:rPr>
            </w:pPr>
            <w:r>
              <w:rPr>
                <w:rFonts w:ascii="Times New Roman" w:hAnsi="Times New Roman" w:cs="Times New Roman"/>
                <w:kern w:val="24"/>
                <w:lang w:val="fr-FR" w:eastAsia="ja-JP"/>
              </w:rPr>
              <w:t>(Mg, Ng, M, N, P) = (1, 1, 8, 16, 2)</w:t>
            </w:r>
          </w:p>
          <w:p>
            <w:pPr>
              <w:adjustRightInd w:val="0"/>
              <w:snapToGrid w:val="0"/>
              <w:spacing w:after="0" w:line="240" w:lineRule="auto"/>
              <w:jc w:val="center"/>
              <w:rPr>
                <w:rFonts w:ascii="Times New Roman" w:hAnsi="Times New Roman" w:cs="Times New Roman"/>
                <w:kern w:val="24"/>
                <w:lang w:val="fr-FR" w:eastAsia="ja-JP"/>
              </w:rPr>
            </w:pPr>
            <w:r>
              <w:rPr>
                <w:rFonts w:ascii="Times New Roman" w:hAnsi="Times New Roman" w:cs="Times New Roman"/>
                <w:kern w:val="24"/>
                <w:lang w:val="fr-FR" w:eastAsia="ja-JP"/>
              </w:rPr>
              <w:t>(dv, dh) = (0.5</w:t>
            </w:r>
            <w:r>
              <w:rPr>
                <w:rFonts w:ascii="Times New Roman" w:hAnsi="Times New Roman" w:cs="Times New Roman"/>
                <w:kern w:val="24"/>
                <w:lang w:eastAsia="ja-JP"/>
              </w:rPr>
              <w:t>λ</w:t>
            </w:r>
            <w:r>
              <w:rPr>
                <w:rFonts w:ascii="Times New Roman" w:hAnsi="Times New Roman" w:cs="Times New Roman"/>
                <w:kern w:val="24"/>
                <w:lang w:val="fr-FR" w:eastAsia="ja-JP"/>
              </w:rPr>
              <w:t>, 0.5</w:t>
            </w:r>
            <w:r>
              <w:rPr>
                <w:rFonts w:ascii="Times New Roman" w:hAnsi="Times New Roman" w:cs="Times New Roman"/>
                <w:kern w:val="24"/>
                <w:lang w:eastAsia="ja-JP"/>
              </w:rPr>
              <w:t>λ</w:t>
            </w:r>
            <w:r>
              <w:rPr>
                <w:rFonts w:ascii="Times New Roman" w:hAnsi="Times New Roman" w:cs="Times New Roman"/>
                <w:kern w:val="24"/>
                <w:lang w:val="fr-FR" w:eastAsia="ja-JP"/>
              </w:rPr>
              <w:t>)</w:t>
            </w:r>
          </w:p>
          <w:p>
            <w:pPr>
              <w:adjustRightInd w:val="0"/>
              <w:snapToGrid w:val="0"/>
              <w:spacing w:after="0" w:line="240" w:lineRule="auto"/>
              <w:jc w:val="center"/>
              <w:rPr>
                <w:rFonts w:ascii="Times New Roman" w:hAnsi="Times New Roman" w:cs="Times New Roman"/>
                <w:kern w:val="24"/>
                <w:lang w:val="fr-FR" w:eastAsia="ja-JP"/>
              </w:rPr>
            </w:pPr>
            <w:r>
              <w:rPr>
                <w:rFonts w:ascii="Times New Roman" w:hAnsi="Times New Roman" w:cs="Times New Roman"/>
                <w:kern w:val="24"/>
                <w:lang w:val="fr-FR" w:eastAsia="ja-JP"/>
              </w:rPr>
              <w:t>GE,max = 5 dBi</w:t>
            </w:r>
          </w:p>
        </w:tc>
      </w:tr>
      <w:tr>
        <w:tblPrEx>
          <w:tblCellMar>
            <w:top w:w="0" w:type="dxa"/>
            <w:left w:w="0" w:type="dxa"/>
            <w:bottom w:w="0" w:type="dxa"/>
            <w:right w:w="0" w:type="dxa"/>
          </w:tblCellMar>
        </w:tblPrEx>
        <w:trPr>
          <w:trHeight w:val="244"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UE antenna configuration</w:t>
            </w:r>
          </w:p>
        </w:tc>
        <w:tc>
          <w:tcPr>
            <w:tcW w:w="5847"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rPr>
                <w:rFonts w:ascii="Times New Roman" w:hAnsi="Times New Roman" w:cs="Times New Roman"/>
                <w:kern w:val="24"/>
                <w:lang w:eastAsia="ja-JP"/>
              </w:rPr>
            </w:pPr>
            <w:r>
              <w:rPr>
                <w:rFonts w:ascii="Times New Roman" w:hAnsi="Times New Roman" w:cs="Times New Roman"/>
                <w:kern w:val="24"/>
                <w:lang w:eastAsia="ja-JP"/>
              </w:rPr>
              <w:t xml:space="preserve">First priority: </w:t>
            </w:r>
          </w:p>
          <w:p>
            <w:pPr>
              <w:adjustRightInd w:val="0"/>
              <w:snapToGrid w:val="0"/>
              <w:spacing w:after="0" w:line="240" w:lineRule="auto"/>
              <w:rPr>
                <w:rFonts w:ascii="Times New Roman" w:hAnsi="Times New Roman" w:eastAsia="Yu Mincho" w:cs="Times New Roman"/>
                <w:kern w:val="24"/>
                <w:lang w:eastAsia="ja-JP"/>
              </w:rPr>
            </w:pPr>
            <w:r>
              <w:rPr>
                <w:rFonts w:hint="default" w:ascii="Times New Roman" w:hAnsi="Times New Roman" w:cs="Times New Roman"/>
                <w:kern w:val="24"/>
                <w:lang w:eastAsia="ja-JP"/>
              </w:rPr>
              <w:t>P</w:t>
            </w:r>
            <w:r>
              <w:rPr>
                <w:rFonts w:ascii="Times New Roman" w:hAnsi="Times New Roman" w:cs="Times New Roman"/>
                <w:kern w:val="24"/>
                <w:lang w:eastAsia="ja-JP"/>
              </w:rPr>
              <w:t>C1/</w:t>
            </w:r>
            <w:r>
              <w:rPr>
                <w:rFonts w:ascii="Times New Roman" w:hAnsi="Times New Roman" w:cs="Times New Roman"/>
                <w:kern w:val="24"/>
                <w:lang w:eastAsia="zh-CN"/>
              </w:rPr>
              <w:t>PC2/</w:t>
            </w:r>
            <w:r>
              <w:rPr>
                <w:rFonts w:ascii="Times New Roman" w:hAnsi="Times New Roman" w:cs="Times New Roman"/>
                <w:kern w:val="24"/>
                <w:lang w:eastAsia="ja-JP"/>
              </w:rPr>
              <w:t>PC5:</w:t>
            </w:r>
          </w:p>
          <w:p>
            <w:pPr>
              <w:adjustRightInd w:val="0"/>
              <w:snapToGrid w:val="0"/>
              <w:spacing w:after="0" w:line="240" w:lineRule="auto"/>
              <w:rPr>
                <w:rFonts w:ascii="Times New Roman" w:hAnsi="Times New Roman" w:cs="Times New Roman"/>
                <w:kern w:val="24"/>
                <w:lang w:eastAsia="ja-JP"/>
              </w:rPr>
            </w:pPr>
            <w:r>
              <w:rPr>
                <w:rFonts w:ascii="Times New Roman" w:hAnsi="Times New Roman" w:cs="Times New Roman"/>
                <w:kern w:val="24"/>
                <w:lang w:eastAsia="ja-JP"/>
              </w:rPr>
              <w:t>(Mg, Ng, M, N, P) = (1, 1, 4, 4, 2) (dv, dh) = (0.5λ, 0.5λ)</w:t>
            </w:r>
          </w:p>
          <w:p>
            <w:pPr>
              <w:adjustRightInd w:val="0"/>
              <w:snapToGrid w:val="0"/>
              <w:spacing w:after="0" w:line="240" w:lineRule="auto"/>
              <w:rPr>
                <w:rFonts w:ascii="Times New Roman" w:hAnsi="Times New Roman" w:cs="Times New Roman"/>
                <w:kern w:val="24"/>
                <w:lang w:eastAsia="ja-JP"/>
              </w:rPr>
            </w:pPr>
            <w:r>
              <w:rPr>
                <w:rFonts w:ascii="Times New Roman" w:hAnsi="Times New Roman" w:cs="Times New Roman"/>
                <w:kern w:val="24"/>
                <w:lang w:eastAsia="ja-JP"/>
              </w:rPr>
              <w:t>GE,max = 5 dBi</w:t>
            </w:r>
          </w:p>
          <w:p>
            <w:pPr>
              <w:adjustRightInd w:val="0"/>
              <w:snapToGrid w:val="0"/>
              <w:spacing w:after="0" w:line="240" w:lineRule="auto"/>
              <w:rPr>
                <w:rFonts w:ascii="Times New Roman" w:hAnsi="Times New Roman" w:cs="Times New Roman"/>
                <w:kern w:val="24"/>
                <w:lang w:val="sv-SE" w:eastAsia="ja-JP"/>
              </w:rPr>
            </w:pPr>
            <w:r>
              <w:rPr>
                <w:rFonts w:ascii="Times New Roman" w:hAnsi="Times New Roman" w:cs="Times New Roman"/>
                <w:kern w:val="24"/>
                <w:lang w:val="sv-SE" w:eastAsia="ja-JP"/>
              </w:rPr>
              <w:t xml:space="preserve">Second priority: </w:t>
            </w:r>
          </w:p>
          <w:p>
            <w:pPr>
              <w:adjustRightInd w:val="0"/>
              <w:snapToGrid w:val="0"/>
              <w:spacing w:after="0" w:line="240" w:lineRule="auto"/>
              <w:rPr>
                <w:rFonts w:ascii="Times New Roman" w:hAnsi="Times New Roman" w:cs="Times New Roman"/>
                <w:kern w:val="24"/>
                <w:lang w:eastAsia="ja-JP"/>
              </w:rPr>
            </w:pPr>
            <w:r>
              <w:rPr>
                <w:rFonts w:ascii="Times New Roman" w:hAnsi="Times New Roman" w:cs="Times New Roman"/>
                <w:kern w:val="24"/>
                <w:lang w:eastAsia="ja-JP"/>
              </w:rPr>
              <w:t>PC3:</w:t>
            </w:r>
          </w:p>
          <w:p>
            <w:pPr>
              <w:adjustRightInd w:val="0"/>
              <w:snapToGrid w:val="0"/>
              <w:spacing w:after="0" w:line="240" w:lineRule="auto"/>
              <w:rPr>
                <w:rFonts w:ascii="Times New Roman" w:hAnsi="Times New Roman" w:cs="Times New Roman"/>
                <w:kern w:val="24"/>
                <w:lang w:eastAsia="ja-JP"/>
              </w:rPr>
            </w:pPr>
            <w:r>
              <w:rPr>
                <w:rFonts w:ascii="Times New Roman" w:hAnsi="Times New Roman" w:cs="Times New Roman"/>
                <w:kern w:val="24"/>
                <w:lang w:val="sv-SE" w:eastAsia="ja-JP"/>
              </w:rPr>
              <w:t xml:space="preserve"> </w:t>
            </w:r>
            <w:r>
              <w:rPr>
                <w:rFonts w:ascii="Times New Roman" w:hAnsi="Times New Roman" w:cs="Times New Roman"/>
                <w:kern w:val="24"/>
                <w:lang w:eastAsia="ja-JP"/>
              </w:rPr>
              <w:t>(Mg, Ng, M, N, P) = (1, 1, 2, 2, 2) (dv, dh) = (0.5λ, 0.5λ)</w:t>
            </w:r>
          </w:p>
          <w:p>
            <w:pPr>
              <w:adjustRightInd w:val="0"/>
              <w:snapToGrid w:val="0"/>
              <w:spacing w:after="0" w:line="240" w:lineRule="auto"/>
              <w:rPr>
                <w:rFonts w:ascii="Times New Roman" w:hAnsi="Times New Roman" w:eastAsia="Yu Mincho" w:cs="Times New Roman"/>
                <w:kern w:val="24"/>
                <w:lang w:eastAsia="ja-JP"/>
              </w:rPr>
            </w:pPr>
            <w:r>
              <w:rPr>
                <w:rFonts w:ascii="Times New Roman" w:hAnsi="Times New Roman" w:cs="Times New Roman"/>
                <w:kern w:val="24"/>
                <w:lang w:eastAsia="ja-JP"/>
              </w:rPr>
              <w:t>GE,max = 5 dBi</w:t>
            </w:r>
          </w:p>
        </w:tc>
      </w:tr>
      <w:tr>
        <w:tblPrEx>
          <w:tblCellMar>
            <w:top w:w="0" w:type="dxa"/>
            <w:left w:w="0" w:type="dxa"/>
            <w:bottom w:w="0" w:type="dxa"/>
            <w:right w:w="0" w:type="dxa"/>
          </w:tblCellMar>
        </w:tblPrEx>
        <w:trPr>
          <w:trHeight w:val="256"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System bandwidth</w:t>
            </w:r>
          </w:p>
        </w:tc>
        <w:tc>
          <w:tcPr>
            <w:tcW w:w="5847"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lang w:eastAsia="ja-JP"/>
              </w:rPr>
            </w:pPr>
            <w:r>
              <w:rPr>
                <w:rFonts w:ascii="Times New Roman" w:hAnsi="Times New Roman" w:cs="Times New Roman"/>
                <w:kern w:val="24"/>
                <w:lang w:eastAsia="ja-JP"/>
              </w:rPr>
              <w:t>200MHz</w:t>
            </w:r>
          </w:p>
        </w:tc>
      </w:tr>
      <w:tr>
        <w:tblPrEx>
          <w:tblCellMar>
            <w:top w:w="0" w:type="dxa"/>
            <w:left w:w="0" w:type="dxa"/>
            <w:bottom w:w="0" w:type="dxa"/>
            <w:right w:w="0" w:type="dxa"/>
          </w:tblCellMar>
        </w:tblPrEx>
        <w:trPr>
          <w:trHeight w:val="256"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highlight w:val="yellow"/>
              </w:rPr>
            </w:pPr>
          </w:p>
        </w:tc>
        <w:tc>
          <w:tcPr>
            <w:tcW w:w="5847"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highlight w:val="yellow"/>
              </w:rPr>
            </w:pPr>
          </w:p>
        </w:tc>
      </w:tr>
      <w:tr>
        <w:tblPrEx>
          <w:tblCellMar>
            <w:top w:w="0" w:type="dxa"/>
            <w:left w:w="0" w:type="dxa"/>
            <w:bottom w:w="0" w:type="dxa"/>
            <w:right w:w="0" w:type="dxa"/>
          </w:tblCellMar>
        </w:tblPrEx>
        <w:trPr>
          <w:trHeight w:val="256"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rPr>
            </w:pPr>
            <w:r>
              <w:rPr>
                <w:rFonts w:ascii="Times New Roman" w:hAnsi="Times New Roman" w:cs="Times New Roman"/>
                <w:kern w:val="24"/>
              </w:rPr>
              <w:t>Target SNR at BS side</w:t>
            </w:r>
          </w:p>
        </w:tc>
        <w:tc>
          <w:tcPr>
            <w:tcW w:w="5847"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rPr>
            </w:pPr>
            <w:r>
              <w:rPr>
                <w:rFonts w:ascii="Times New Roman" w:hAnsi="Times New Roman" w:cs="Times New Roman"/>
                <w:kern w:val="24"/>
              </w:rPr>
              <w:t>FFS</w:t>
            </w:r>
          </w:p>
        </w:tc>
      </w:tr>
      <w:tr>
        <w:tblPrEx>
          <w:tblCellMar>
            <w:top w:w="0" w:type="dxa"/>
            <w:left w:w="0" w:type="dxa"/>
            <w:bottom w:w="0" w:type="dxa"/>
            <w:right w:w="0" w:type="dxa"/>
          </w:tblCellMar>
        </w:tblPrEx>
        <w:trPr>
          <w:trHeight w:val="256" w:hRule="atLeast"/>
          <w:jc w:val="center"/>
        </w:trPr>
        <w:tc>
          <w:tcPr>
            <w:tcW w:w="4103"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ascii="Times New Roman" w:hAnsi="Times New Roman" w:cs="Times New Roman"/>
                <w:kern w:val="24"/>
                <w:highlight w:val="none"/>
                <w:lang w:eastAsia="ja-JP"/>
              </w:rPr>
            </w:pPr>
            <w:r>
              <w:rPr>
                <w:rFonts w:ascii="Times New Roman" w:hAnsi="Times New Roman" w:cs="Times New Roman"/>
                <w:kern w:val="24"/>
                <w:highlight w:val="none"/>
                <w:lang w:eastAsia="ja-JP"/>
              </w:rPr>
              <w:t>UE max output power</w:t>
            </w:r>
          </w:p>
        </w:tc>
        <w:tc>
          <w:tcPr>
            <w:tcW w:w="5847" w:type="dxa"/>
            <w:gridSpan w:val="2"/>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rPr>
                <w:rFonts w:ascii="Times New Roman" w:hAnsi="Times New Roman" w:cs="Times New Roman"/>
                <w:kern w:val="24"/>
                <w:highlight w:val="none"/>
                <w:lang w:eastAsia="ja-JP"/>
              </w:rPr>
            </w:pPr>
            <w:r>
              <w:rPr>
                <w:rFonts w:ascii="Times New Roman" w:hAnsi="Times New Roman" w:cs="Times New Roman"/>
                <w:kern w:val="24"/>
                <w:highlight w:val="none"/>
                <w:lang w:eastAsia="ja-JP"/>
              </w:rPr>
              <w:t>PC1: 35 dBm/PC2: 23dBm/PC3: 23 dBm/</w:t>
            </w:r>
            <w:r>
              <w:rPr>
                <w:rFonts w:hint="default" w:ascii="Times New Roman" w:hAnsi="Times New Roman" w:cs="Times New Roman"/>
                <w:kern w:val="24"/>
                <w:highlight w:val="none"/>
                <w:lang w:eastAsia="ja-JP"/>
              </w:rPr>
              <w:t>P</w:t>
            </w:r>
            <w:r>
              <w:rPr>
                <w:rFonts w:ascii="Times New Roman" w:hAnsi="Times New Roman" w:cs="Times New Roman"/>
                <w:kern w:val="24"/>
                <w:highlight w:val="none"/>
                <w:lang w:eastAsia="ja-JP"/>
              </w:rPr>
              <w:t xml:space="preserve">C5: 23 dBm </w:t>
            </w:r>
          </w:p>
        </w:tc>
      </w:tr>
    </w:tbl>
    <w:p>
      <w:pPr>
        <w:adjustRightInd/>
        <w:snapToGrid/>
        <w:spacing w:after="120" w:line="240" w:lineRule="auto"/>
        <w:jc w:val="both"/>
        <w:rPr>
          <w:rFonts w:hint="eastAsia" w:eastAsia="Times New Roman"/>
          <w:b w:val="0"/>
          <w:sz w:val="20"/>
          <w:szCs w:val="20"/>
          <w:lang w:val="en-US" w:eastAsia="zh-CN"/>
        </w:rPr>
      </w:pPr>
      <w:r>
        <w:rPr>
          <w:rFonts w:hint="eastAsia" w:eastAsia="Times New Roman"/>
          <w:b w:val="0"/>
          <w:sz w:val="20"/>
          <w:szCs w:val="20"/>
          <w:lang w:val="en-US" w:eastAsia="zh-CN"/>
        </w:rPr>
        <w:t xml:space="preserve">The maximum out power is the upper limit of the transmission power required by regulations. In the system level simulation, the final radiation power is determined based on the output power, beam gain and element gain. </w:t>
      </w:r>
      <w:bookmarkStart w:id="6" w:name="OLE_LINK9"/>
      <w:r>
        <w:rPr>
          <w:rFonts w:hint="eastAsia" w:eastAsia="Times New Roman"/>
          <w:b w:val="0"/>
          <w:sz w:val="20"/>
          <w:szCs w:val="20"/>
          <w:lang w:val="en-US" w:eastAsia="zh-CN"/>
        </w:rPr>
        <w:t>Therefore Min peak EIRP needs to be included in the simulation assumption.</w:t>
      </w:r>
      <w:bookmarkEnd w:id="6"/>
      <w:r>
        <w:rPr>
          <w:rFonts w:hint="eastAsia" w:eastAsia="Times New Roman"/>
          <w:b w:val="0"/>
          <w:sz w:val="20"/>
          <w:szCs w:val="20"/>
          <w:lang w:val="en-US" w:eastAsia="zh-CN"/>
        </w:rPr>
        <w:t xml:space="preserve"> The Min peak EIRP for PC3 is copied from </w:t>
      </w:r>
      <w:r>
        <w:rPr>
          <w:rFonts w:hint="eastAsia" w:eastAsia="Times New Roman"/>
          <w:b w:val="0"/>
          <w:sz w:val="20"/>
          <w:szCs w:val="20"/>
          <w:vertAlign w:val="baseline"/>
          <w:lang w:val="en-US" w:eastAsia="zh-CN"/>
        </w:rPr>
        <w:t>[3]</w:t>
      </w:r>
      <w:r>
        <w:rPr>
          <w:rFonts w:hint="eastAsia" w:eastAsia="Times New Roman"/>
          <w:b w:val="0"/>
          <w:sz w:val="20"/>
          <w:szCs w:val="20"/>
          <w:lang w:val="en-US" w:eastAsia="zh-CN"/>
        </w:rPr>
        <w:t xml:space="preserve"> as below. </w:t>
      </w:r>
      <w:r>
        <w:rPr>
          <w:rFonts w:hint="eastAsia"/>
          <w:b w:val="0"/>
          <w:sz w:val="20"/>
          <w:szCs w:val="20"/>
          <w:lang w:val="en-US" w:eastAsia="zh-CN"/>
        </w:rPr>
        <w:t xml:space="preserve">Min peak EIRP for other Power Class are copied to Annex for reference. </w:t>
      </w:r>
      <w:r>
        <w:rPr>
          <w:rFonts w:hint="eastAsia" w:eastAsia="Times New Roman"/>
          <w:b w:val="0"/>
          <w:strike w:val="0"/>
          <w:sz w:val="20"/>
          <w:szCs w:val="20"/>
          <w:lang w:val="en-US" w:eastAsia="zh-CN"/>
        </w:rPr>
        <w:t xml:space="preserve">We can see from the table </w:t>
      </w:r>
      <w:r>
        <w:rPr>
          <w:rFonts w:hint="eastAsia"/>
          <w:b w:val="0"/>
          <w:strike w:val="0"/>
          <w:sz w:val="20"/>
          <w:szCs w:val="20"/>
          <w:lang w:val="en-US" w:eastAsia="zh-CN"/>
        </w:rPr>
        <w:t>below</w:t>
      </w:r>
      <w:r>
        <w:rPr>
          <w:rFonts w:hint="eastAsia" w:eastAsia="Times New Roman"/>
          <w:b w:val="0"/>
          <w:strike w:val="0"/>
          <w:sz w:val="20"/>
          <w:szCs w:val="20"/>
          <w:lang w:val="en-US" w:eastAsia="zh-CN"/>
        </w:rPr>
        <w:t xml:space="preserve"> that the Min peak EIRP for PC3 in n257 is 22.4dBm which is smaller than 23dBm.</w:t>
      </w:r>
    </w:p>
    <w:p>
      <w:pPr>
        <w:pStyle w:val="37"/>
        <w:adjustRightInd w:val="0"/>
        <w:snapToGrid w:val="0"/>
        <w:spacing w:line="240" w:lineRule="auto"/>
        <w:rPr>
          <w:rFonts w:hint="default" w:eastAsia="宋体"/>
          <w:lang w:val="en-US" w:eastAsia="zh-CN"/>
        </w:rPr>
      </w:pPr>
      <w:r>
        <w:rPr>
          <w:rFonts w:hint="default" w:ascii="Arial" w:hAnsi="Arial"/>
          <w:b/>
          <w:szCs w:val="20"/>
          <w:lang w:val="en-US" w:eastAsia="zh-CN"/>
        </w:rPr>
        <w:t>Table 3.</w:t>
      </w:r>
      <w:r>
        <w:rPr>
          <w:rFonts w:hint="eastAsia" w:ascii="Times New Roman" w:hAnsi="Times New Roman"/>
          <w:b w:val="0"/>
          <w:szCs w:val="24"/>
          <w:lang w:val="en-US" w:eastAsia="zh-CN"/>
        </w:rPr>
        <w:t xml:space="preserve"> </w:t>
      </w:r>
      <w:r>
        <w:t>Table 6.2.1.3-1: UE minimum peak EIRP for power class 3</w:t>
      </w:r>
      <w:r>
        <w:rPr>
          <w:rFonts w:hint="eastAsia"/>
          <w:lang w:val="en-US" w:eastAsia="zh-CN"/>
        </w:rPr>
        <w:t xml:space="preserve"> from[3]</w:t>
      </w:r>
    </w:p>
    <w:tbl>
      <w:tblPr>
        <w:tblStyle w:val="17"/>
        <w:tblW w:w="0" w:type="auto"/>
        <w:tblInd w:w="136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3010"/>
        <w:gridCol w:w="38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vAlign w:val="center"/>
          </w:tcPr>
          <w:p>
            <w:pPr>
              <w:pStyle w:val="34"/>
              <w:adjustRightInd w:val="0"/>
              <w:snapToGrid w:val="0"/>
              <w:spacing w:after="0" w:line="240" w:lineRule="auto"/>
            </w:pPr>
            <w:r>
              <w:t>Operating band</w:t>
            </w:r>
          </w:p>
        </w:tc>
        <w:tc>
          <w:tcPr>
            <w:tcW w:w="3806" w:type="dxa"/>
            <w:tcBorders>
              <w:top w:val="single" w:color="auto" w:sz="4" w:space="0"/>
              <w:left w:val="single" w:color="auto" w:sz="4" w:space="0"/>
              <w:bottom w:val="single" w:color="auto" w:sz="4" w:space="0"/>
              <w:right w:val="single" w:color="auto" w:sz="4" w:space="0"/>
            </w:tcBorders>
            <w:vAlign w:val="center"/>
          </w:tcPr>
          <w:p>
            <w:pPr>
              <w:pStyle w:val="34"/>
              <w:adjustRightInd w:val="0"/>
              <w:snapToGrid w:val="0"/>
              <w:spacing w:after="0" w:line="240" w:lineRule="auto"/>
            </w:pPr>
            <w:r>
              <w:t>Min peak EIRP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n257</w:t>
            </w:r>
          </w:p>
        </w:tc>
        <w:tc>
          <w:tcPr>
            <w:tcW w:w="3806"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22.4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n258</w:t>
            </w:r>
          </w:p>
        </w:tc>
        <w:tc>
          <w:tcPr>
            <w:tcW w:w="3806"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22.4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n259</w:t>
            </w:r>
          </w:p>
        </w:tc>
        <w:tc>
          <w:tcPr>
            <w:tcW w:w="3806"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18.7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n260</w:t>
            </w:r>
          </w:p>
        </w:tc>
        <w:tc>
          <w:tcPr>
            <w:tcW w:w="3806"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20.6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n261</w:t>
            </w:r>
          </w:p>
        </w:tc>
        <w:tc>
          <w:tcPr>
            <w:tcW w:w="3806"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22.4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n262</w:t>
            </w:r>
          </w:p>
        </w:tc>
        <w:tc>
          <w:tcPr>
            <w:tcW w:w="3806"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16.0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n263</w:t>
            </w:r>
          </w:p>
        </w:tc>
        <w:tc>
          <w:tcPr>
            <w:tcW w:w="3806"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14.1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816" w:type="dxa"/>
            <w:gridSpan w:val="2"/>
            <w:tcBorders>
              <w:top w:val="single" w:color="auto" w:sz="4" w:space="0"/>
              <w:left w:val="single" w:color="auto" w:sz="4" w:space="0"/>
              <w:bottom w:val="single" w:color="auto" w:sz="4" w:space="0"/>
            </w:tcBorders>
            <w:vAlign w:val="center"/>
          </w:tcPr>
          <w:p>
            <w:pPr>
              <w:pStyle w:val="56"/>
              <w:adjustRightInd w:val="0"/>
              <w:snapToGrid w:val="0"/>
              <w:spacing w:after="0" w:line="240" w:lineRule="auto"/>
            </w:pPr>
            <w:r>
              <w:t>NOTE 1:</w:t>
            </w:r>
            <w:r>
              <w:tab/>
            </w:r>
            <w:r>
              <w:t>Minimum peak EIRP is defined as the lower limit without tolerance</w:t>
            </w:r>
          </w:p>
          <w:p>
            <w:pPr>
              <w:pStyle w:val="56"/>
              <w:adjustRightInd w:val="0"/>
              <w:snapToGrid w:val="0"/>
              <w:spacing w:after="0" w:line="240" w:lineRule="auto"/>
            </w:pPr>
            <w:r>
              <w:t>NOTE 2:</w:t>
            </w:r>
            <w:r>
              <w:tab/>
            </w:r>
            <w:r>
              <w:t>Void</w:t>
            </w:r>
          </w:p>
        </w:tc>
      </w:tr>
    </w:tbl>
    <w:p>
      <w:pPr>
        <w:jc w:val="both"/>
        <w:rPr>
          <w:rFonts w:hint="eastAsia" w:eastAsia="宋体" w:cs="Times New Roman"/>
          <w:b/>
          <w:kern w:val="0"/>
          <w:szCs w:val="20"/>
          <w:lang w:val="en-US" w:eastAsia="zh-CN"/>
        </w:rPr>
      </w:pPr>
      <w:bookmarkStart w:id="7" w:name="OLE_LINK12"/>
      <w:r>
        <w:rPr>
          <w:rFonts w:hint="eastAsia" w:eastAsia="宋体"/>
          <w:b/>
          <w:kern w:val="0"/>
          <w:sz w:val="20"/>
          <w:szCs w:val="20"/>
          <w:lang w:val="en-US" w:eastAsia="zh-CN"/>
        </w:rPr>
        <w:t>Proposal 1</w:t>
      </w:r>
      <w:r>
        <w:rPr>
          <w:rFonts w:hint="eastAsia" w:ascii="Times New Roman" w:hAnsi="Times New Roman" w:eastAsia="宋体" w:cs="Times New Roman"/>
          <w:b/>
          <w:kern w:val="0"/>
          <w:szCs w:val="20"/>
          <w:lang w:val="en-US" w:eastAsia="zh-CN"/>
        </w:rPr>
        <w:t>:</w:t>
      </w:r>
      <w:r>
        <w:rPr>
          <w:rFonts w:hint="eastAsia" w:eastAsia="宋体" w:cs="Times New Roman"/>
          <w:b/>
          <w:kern w:val="0"/>
          <w:szCs w:val="20"/>
          <w:lang w:val="en-US" w:eastAsia="zh-CN"/>
        </w:rPr>
        <w:t xml:space="preserve"> To add Min peak EIRP in t</w:t>
      </w:r>
      <w:r>
        <w:rPr>
          <w:rFonts w:hint="eastAsia" w:ascii="Times New Roman" w:hAnsi="Times New Roman" w:eastAsia="宋体" w:cs="Times New Roman"/>
          <w:b/>
          <w:kern w:val="0"/>
          <w:szCs w:val="20"/>
          <w:lang w:val="en-US" w:eastAsia="zh-CN"/>
        </w:rPr>
        <w:t xml:space="preserve">he </w:t>
      </w:r>
      <w:r>
        <w:rPr>
          <w:rFonts w:hint="eastAsia" w:eastAsia="宋体" w:cs="Times New Roman"/>
          <w:b/>
          <w:kern w:val="0"/>
          <w:szCs w:val="20"/>
          <w:lang w:val="en-US" w:eastAsia="zh-CN"/>
        </w:rPr>
        <w:t xml:space="preserve">system level </w:t>
      </w:r>
      <w:r>
        <w:rPr>
          <w:rFonts w:hint="eastAsia" w:ascii="Times New Roman" w:hAnsi="Times New Roman" w:eastAsia="宋体" w:cs="Times New Roman"/>
          <w:b/>
          <w:kern w:val="0"/>
          <w:szCs w:val="20"/>
          <w:lang w:val="en-US" w:eastAsia="zh-CN"/>
        </w:rPr>
        <w:t xml:space="preserve">simulation </w:t>
      </w:r>
      <w:r>
        <w:rPr>
          <w:rFonts w:hint="eastAsia" w:eastAsia="宋体" w:cs="Times New Roman"/>
          <w:b/>
          <w:kern w:val="0"/>
          <w:szCs w:val="20"/>
          <w:lang w:val="en-US" w:eastAsia="zh-CN"/>
        </w:rPr>
        <w:t>assumption.</w:t>
      </w:r>
    </w:p>
    <w:tbl>
      <w:tblPr>
        <w:tblStyle w:val="17"/>
        <w:tblW w:w="9950" w:type="dxa"/>
        <w:jc w:val="center"/>
        <w:tblLayout w:type="autofit"/>
        <w:tblCellMar>
          <w:top w:w="0" w:type="dxa"/>
          <w:left w:w="0" w:type="dxa"/>
          <w:bottom w:w="0" w:type="dxa"/>
          <w:right w:w="0" w:type="dxa"/>
        </w:tblCellMar>
      </w:tblPr>
      <w:tblGrid>
        <w:gridCol w:w="4103"/>
        <w:gridCol w:w="5847"/>
      </w:tblGrid>
      <w:tr>
        <w:tblPrEx>
          <w:tblCellMar>
            <w:top w:w="0" w:type="dxa"/>
            <w:left w:w="0" w:type="dxa"/>
            <w:bottom w:w="0" w:type="dxa"/>
            <w:right w:w="0" w:type="dxa"/>
          </w:tblCellMar>
        </w:tblPrEx>
        <w:trPr>
          <w:trHeight w:val="256" w:hRule="atLeast"/>
          <w:jc w:val="center"/>
        </w:trPr>
        <w:tc>
          <w:tcPr>
            <w:tcW w:w="410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hint="default" w:ascii="Times New Roman" w:hAnsi="Times New Roman" w:eastAsia="宋体" w:cs="Times New Roman"/>
                <w:b/>
                <w:bCs/>
                <w:kern w:val="24"/>
                <w:lang w:val="en-US" w:eastAsia="zh-CN"/>
              </w:rPr>
            </w:pPr>
            <w:r>
              <w:rPr>
                <w:rFonts w:hint="eastAsia" w:eastAsia="宋体" w:cs="Times New Roman"/>
                <w:b/>
                <w:bCs/>
                <w:kern w:val="24"/>
                <w:lang w:val="en-US" w:eastAsia="zh-CN"/>
              </w:rPr>
              <w:t>UE Min peak EIRP</w:t>
            </w:r>
          </w:p>
        </w:tc>
        <w:tc>
          <w:tcPr>
            <w:tcW w:w="5847"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rPr>
                <w:rFonts w:hint="default" w:eastAsia="宋体"/>
                <w:b/>
                <w:bCs/>
                <w:lang w:val="en-US" w:eastAsia="zh-CN"/>
              </w:rPr>
            </w:pPr>
            <w:r>
              <w:rPr>
                <w:rFonts w:hint="eastAsia" w:eastAsia="宋体" w:cs="Times New Roman"/>
                <w:b/>
                <w:bCs/>
                <w:color w:val="auto"/>
                <w:kern w:val="24"/>
                <w:highlight w:val="none"/>
                <w:lang w:val="en-US" w:eastAsia="zh-CN"/>
              </w:rPr>
              <w:t>n257 PC1:</w:t>
            </w:r>
            <w:r>
              <w:rPr>
                <w:b/>
                <w:bCs/>
              </w:rPr>
              <w:t>40.0</w:t>
            </w:r>
            <w:r>
              <w:rPr>
                <w:rFonts w:hint="eastAsia" w:eastAsia="宋体"/>
                <w:b/>
                <w:bCs/>
                <w:lang w:val="en-US" w:eastAsia="zh-CN"/>
              </w:rPr>
              <w:t xml:space="preserve"> dBm/PC2:29 dBm/PC3:</w:t>
            </w:r>
            <w:r>
              <w:rPr>
                <w:b/>
                <w:bCs/>
              </w:rPr>
              <w:t>22.4</w:t>
            </w:r>
            <w:r>
              <w:rPr>
                <w:rFonts w:hint="eastAsia" w:eastAsia="宋体"/>
                <w:b/>
                <w:bCs/>
                <w:lang w:val="en-US" w:eastAsia="zh-CN"/>
              </w:rPr>
              <w:t xml:space="preserve"> </w:t>
            </w:r>
            <w:r>
              <w:rPr>
                <w:rFonts w:hint="eastAsia" w:eastAsia="宋体" w:cs="Times New Roman"/>
                <w:b/>
                <w:bCs/>
                <w:kern w:val="24"/>
                <w:lang w:val="en-US" w:eastAsia="zh-CN"/>
              </w:rPr>
              <w:t>dBm</w:t>
            </w:r>
            <w:r>
              <w:rPr>
                <w:rFonts w:hint="eastAsia" w:eastAsia="宋体"/>
                <w:b/>
                <w:bCs/>
                <w:lang w:val="en-US" w:eastAsia="zh-CN"/>
              </w:rPr>
              <w:t>/PC5: 30dBm</w:t>
            </w:r>
          </w:p>
          <w:p>
            <w:pPr>
              <w:adjustRightInd w:val="0"/>
              <w:snapToGrid w:val="0"/>
              <w:spacing w:after="0" w:line="240" w:lineRule="auto"/>
              <w:rPr>
                <w:rFonts w:hint="default" w:eastAsia="宋体"/>
                <w:b/>
                <w:bCs/>
                <w:lang w:val="en-US" w:eastAsia="zh-CN"/>
              </w:rPr>
            </w:pPr>
            <w:r>
              <w:rPr>
                <w:rFonts w:hint="eastAsia" w:eastAsia="宋体"/>
                <w:b/>
                <w:bCs/>
                <w:lang w:val="en-US" w:eastAsia="zh-CN"/>
              </w:rPr>
              <w:t xml:space="preserve">n260 </w:t>
            </w:r>
            <w:r>
              <w:rPr>
                <w:rFonts w:hint="eastAsia" w:eastAsia="宋体" w:cs="Times New Roman"/>
                <w:b/>
                <w:bCs/>
                <w:color w:val="auto"/>
                <w:kern w:val="24"/>
                <w:highlight w:val="none"/>
                <w:lang w:val="en-US" w:eastAsia="zh-CN"/>
              </w:rPr>
              <w:t>PC1:</w:t>
            </w:r>
            <w:r>
              <w:rPr>
                <w:rFonts w:hint="eastAsia" w:eastAsia="宋体"/>
                <w:b/>
                <w:bCs/>
                <w:lang w:val="en-US" w:eastAsia="zh-CN"/>
              </w:rPr>
              <w:t>38</w:t>
            </w:r>
            <w:r>
              <w:rPr>
                <w:b/>
                <w:bCs/>
              </w:rPr>
              <w:t>.0</w:t>
            </w:r>
            <w:r>
              <w:rPr>
                <w:rFonts w:hint="eastAsia" w:eastAsia="宋体"/>
                <w:b/>
                <w:bCs/>
                <w:lang w:val="en-US" w:eastAsia="zh-CN"/>
              </w:rPr>
              <w:t xml:space="preserve"> dBm/PC3:</w:t>
            </w:r>
            <w:r>
              <w:rPr>
                <w:b/>
                <w:bCs/>
              </w:rPr>
              <w:t>20.6</w:t>
            </w:r>
            <w:r>
              <w:rPr>
                <w:rFonts w:hint="eastAsia" w:eastAsia="宋体"/>
                <w:b/>
                <w:bCs/>
                <w:lang w:val="en-US" w:eastAsia="zh-CN"/>
              </w:rPr>
              <w:t xml:space="preserve"> dBm</w:t>
            </w:r>
          </w:p>
        </w:tc>
      </w:tr>
      <w:bookmarkEnd w:id="7"/>
    </w:tbl>
    <w:p>
      <w:pPr>
        <w:spacing w:after="120" w:line="240" w:lineRule="auto"/>
        <w:jc w:val="left"/>
        <w:rPr>
          <w:rFonts w:hint="default" w:eastAsia="宋体"/>
          <w:b w:val="0"/>
          <w:kern w:val="24"/>
          <w:sz w:val="20"/>
          <w:szCs w:val="24"/>
          <w:lang w:val="en-US" w:eastAsia="zh-CN"/>
        </w:rPr>
      </w:pPr>
      <w:r>
        <w:rPr>
          <w:rFonts w:hint="eastAsia" w:eastAsia="宋体"/>
          <w:b w:val="0"/>
          <w:kern w:val="24"/>
          <w:sz w:val="20"/>
          <w:szCs w:val="24"/>
          <w:lang w:val="en-US" w:eastAsia="zh-CN"/>
        </w:rPr>
        <w:t>It shall be noted that t</w:t>
      </w:r>
      <w:r>
        <w:rPr>
          <w:rFonts w:hint="eastAsia" w:ascii="Times New Roman" w:hAnsi="Times New Roman" w:eastAsia="宋体" w:cs="Times New Roman"/>
          <w:b w:val="0"/>
          <w:kern w:val="24"/>
          <w:szCs w:val="24"/>
          <w:lang w:val="en-US" w:eastAsia="zh-CN"/>
        </w:rPr>
        <w:t>here is not EIRP definition for PC2 and PC5 in band n260.</w:t>
      </w:r>
    </w:p>
    <w:p>
      <w:pPr>
        <w:spacing w:after="120" w:line="240" w:lineRule="auto"/>
        <w:jc w:val="both"/>
        <w:rPr>
          <w:rFonts w:hint="eastAsia" w:eastAsia="宋体"/>
          <w:b w:val="0"/>
          <w:kern w:val="24"/>
          <w:sz w:val="20"/>
          <w:szCs w:val="24"/>
          <w:lang w:val="en-US" w:eastAsia="zh-CN"/>
        </w:rPr>
      </w:pPr>
      <w:r>
        <w:rPr>
          <w:rFonts w:hint="eastAsia" w:eastAsia="宋体"/>
          <w:b w:val="0"/>
          <w:kern w:val="24"/>
          <w:sz w:val="20"/>
          <w:szCs w:val="24"/>
          <w:lang w:val="en-US" w:eastAsia="zh-CN"/>
        </w:rPr>
        <w:t>Another key factor for system simulation is power control. The power control defined in TR 38.803[3] are:</w:t>
      </w:r>
    </w:p>
    <w:p>
      <w:pPr>
        <w:pStyle w:val="31"/>
        <w:spacing w:after="120" w:line="240" w:lineRule="auto"/>
        <w:rPr>
          <w:rFonts w:hint="eastAsia"/>
          <w:lang w:eastAsia="ja-JP"/>
        </w:rPr>
      </w:pPr>
      <w:r>
        <w:t>-</w:t>
      </w:r>
      <w:r>
        <w:tab/>
      </w:r>
      <w:r>
        <w:t>CL</w:t>
      </w:r>
      <w:r>
        <w:rPr>
          <w:vertAlign w:val="subscript"/>
        </w:rPr>
        <w:t>x-ile</w:t>
      </w:r>
      <w:r>
        <w:t xml:space="preserve"> </w:t>
      </w:r>
      <w:r>
        <w:rPr>
          <w:lang w:eastAsia="ja-JP"/>
        </w:rPr>
        <w:t>= 88 + 10*log10(200/X)</w:t>
      </w:r>
      <w:r>
        <w:rPr>
          <w:rFonts w:hint="eastAsia"/>
          <w:lang w:eastAsia="ja-JP"/>
        </w:rPr>
        <w:t xml:space="preserve">, where </w:t>
      </w:r>
      <w:r>
        <w:rPr>
          <w:lang w:eastAsia="ja-JP"/>
        </w:rPr>
        <w:t>X</w:t>
      </w:r>
      <w:r>
        <w:rPr>
          <w:rFonts w:hint="eastAsia"/>
          <w:lang w:eastAsia="ja-JP"/>
        </w:rPr>
        <w:t xml:space="preserve"> is </w:t>
      </w:r>
      <w:r>
        <w:rPr>
          <w:lang w:eastAsia="ja-JP"/>
        </w:rPr>
        <w:t>UL transmission BW</w:t>
      </w:r>
      <w:r>
        <w:rPr>
          <w:rFonts w:hint="eastAsia"/>
          <w:lang w:eastAsia="ja-JP"/>
        </w:rPr>
        <w:t xml:space="preserve"> (MHz)</w:t>
      </w:r>
    </w:p>
    <w:p>
      <w:pPr>
        <w:pStyle w:val="31"/>
        <w:spacing w:after="120" w:line="240" w:lineRule="auto"/>
        <w:rPr>
          <w:lang w:eastAsia="ja-JP"/>
        </w:rPr>
      </w:pPr>
      <w:r>
        <w:t>-</w:t>
      </w:r>
      <w:r>
        <w:tab/>
      </w:r>
      <w:r>
        <w:t>γ</w:t>
      </w:r>
      <w:r>
        <w:rPr>
          <w:rFonts w:hint="eastAsia"/>
          <w:lang w:eastAsia="ja-JP"/>
        </w:rPr>
        <w:t xml:space="preserve"> </w:t>
      </w:r>
      <w:r>
        <w:rPr>
          <w:lang w:eastAsia="ja-JP"/>
        </w:rPr>
        <w:t>= 1</w:t>
      </w:r>
    </w:p>
    <w:p>
      <w:pPr>
        <w:spacing w:after="120" w:line="240" w:lineRule="auto"/>
        <w:jc w:val="both"/>
        <w:rPr>
          <w:rFonts w:hint="eastAsia" w:eastAsia="宋体"/>
          <w:b w:val="0"/>
          <w:kern w:val="24"/>
          <w:sz w:val="20"/>
          <w:szCs w:val="20"/>
          <w:lang w:val="en-US" w:eastAsia="zh-CN"/>
        </w:rPr>
      </w:pPr>
      <w:r>
        <w:rPr>
          <w:rFonts w:hint="eastAsia"/>
          <w:sz w:val="20"/>
          <w:szCs w:val="20"/>
          <w:lang w:val="en-US" w:eastAsia="zh-CN"/>
        </w:rPr>
        <w:t xml:space="preserve">We can see from the above description that a fixed value of 88 is for </w:t>
      </w:r>
      <w:r>
        <w:rPr>
          <w:sz w:val="20"/>
          <w:szCs w:val="20"/>
        </w:rPr>
        <w:t>CL</w:t>
      </w:r>
      <w:r>
        <w:rPr>
          <w:sz w:val="20"/>
          <w:szCs w:val="20"/>
          <w:vertAlign w:val="subscript"/>
        </w:rPr>
        <w:t>x-ile</w:t>
      </w:r>
      <w:r>
        <w:rPr>
          <w:rFonts w:hint="eastAsia"/>
          <w:sz w:val="20"/>
          <w:szCs w:val="20"/>
          <w:lang w:val="en-US" w:eastAsia="zh-CN"/>
        </w:rPr>
        <w:t xml:space="preserve"> calculation, </w:t>
      </w:r>
      <w:r>
        <w:rPr>
          <w:rFonts w:hint="eastAsia" w:eastAsia="宋体" w:cs="Times New Roman"/>
          <w:b w:val="0"/>
          <w:kern w:val="24"/>
          <w:szCs w:val="24"/>
          <w:lang w:val="en-US" w:eastAsia="zh-CN"/>
        </w:rPr>
        <w:t xml:space="preserve">we think </w:t>
      </w:r>
      <w:r>
        <w:rPr>
          <w:rFonts w:hint="eastAsia"/>
          <w:sz w:val="20"/>
          <w:szCs w:val="20"/>
          <w:lang w:val="en-US" w:eastAsia="zh-CN"/>
        </w:rPr>
        <w:t xml:space="preserve">this set value is inappropriate for the target SNR approaching 30dB considering </w:t>
      </w:r>
      <w:r>
        <w:rPr>
          <w:rFonts w:hint="eastAsia" w:eastAsia="宋体" w:cs="Times New Roman"/>
          <w:b w:val="0"/>
          <w:kern w:val="24"/>
          <w:szCs w:val="24"/>
          <w:lang w:val="en-US" w:eastAsia="zh-CN"/>
        </w:rPr>
        <w:t>operating SNR recommended by moderator is ~28dB for 29GHz,</w:t>
      </w:r>
      <w:r>
        <w:rPr>
          <w:rFonts w:hint="eastAsia"/>
          <w:sz w:val="20"/>
          <w:szCs w:val="20"/>
          <w:lang w:val="en-US" w:eastAsia="zh-CN"/>
        </w:rPr>
        <w:t xml:space="preserve"> since </w:t>
      </w:r>
      <w:r>
        <w:rPr>
          <w:rFonts w:hint="eastAsia" w:eastAsia="等线" w:cs="Times New Roman"/>
          <w:kern w:val="0"/>
          <w:sz w:val="20"/>
          <w:szCs w:val="20"/>
          <w:lang w:val="en-US" w:eastAsia="zh-CN"/>
        </w:rPr>
        <w:t>the power control in TS38.803</w:t>
      </w:r>
      <w:r>
        <w:rPr>
          <w:rFonts w:ascii="Times New Roman" w:hAnsi="Times New Roman" w:eastAsia="等线" w:cs="Times New Roman"/>
          <w:kern w:val="0"/>
          <w:sz w:val="20"/>
          <w:szCs w:val="20"/>
        </w:rPr>
        <w:t xml:space="preserve"> </w:t>
      </w:r>
      <w:r>
        <w:rPr>
          <w:rFonts w:hint="eastAsia" w:ascii="Times New Roman" w:hAnsi="Times New Roman" w:eastAsia="等线" w:cs="Times New Roman"/>
          <w:kern w:val="0"/>
          <w:sz w:val="20"/>
          <w:szCs w:val="20"/>
          <w:lang w:val="en-US" w:eastAsia="zh-CN"/>
        </w:rPr>
        <w:t>is</w:t>
      </w:r>
      <w:r>
        <w:rPr>
          <w:rFonts w:ascii="Times New Roman" w:hAnsi="Times New Roman" w:eastAsia="等线" w:cs="Times New Roman"/>
          <w:kern w:val="0"/>
          <w:sz w:val="20"/>
          <w:szCs w:val="20"/>
        </w:rPr>
        <w:t xml:space="preserve"> designed for satisfying the target SNR at BS side </w:t>
      </w:r>
      <w:r>
        <w:rPr>
          <w:rFonts w:hint="eastAsia" w:ascii="Times New Roman" w:hAnsi="Times New Roman" w:eastAsia="等线" w:cs="Times New Roman"/>
          <w:kern w:val="0"/>
          <w:sz w:val="20"/>
          <w:szCs w:val="20"/>
          <w:lang w:val="en-US" w:eastAsia="zh-CN"/>
        </w:rPr>
        <w:t>as</w:t>
      </w:r>
      <w:r>
        <w:rPr>
          <w:rFonts w:ascii="Times New Roman" w:hAnsi="Times New Roman" w:eastAsia="等线" w:cs="Times New Roman"/>
          <w:kern w:val="0"/>
          <w:sz w:val="20"/>
          <w:szCs w:val="20"/>
        </w:rPr>
        <w:t xml:space="preserve"> 15 dB</w:t>
      </w:r>
      <w:r>
        <w:rPr>
          <w:rFonts w:hint="eastAsia" w:eastAsia="等线" w:cs="Times New Roman"/>
          <w:kern w:val="0"/>
          <w:sz w:val="20"/>
          <w:szCs w:val="20"/>
          <w:lang w:val="en-US" w:eastAsia="zh-CN"/>
        </w:rPr>
        <w:t xml:space="preserve">. </w:t>
      </w:r>
      <w:r>
        <w:rPr>
          <w:rFonts w:hint="eastAsia" w:eastAsia="宋体"/>
          <w:b w:val="0"/>
          <w:kern w:val="24"/>
          <w:sz w:val="20"/>
          <w:szCs w:val="24"/>
          <w:lang w:val="en-US" w:eastAsia="zh-CN"/>
        </w:rPr>
        <w:t xml:space="preserve">Therefore </w:t>
      </w:r>
      <w:r>
        <w:rPr>
          <w:rFonts w:ascii="Times New Roman" w:hAnsi="Times New Roman" w:eastAsia="等线" w:cs="Times New Roman"/>
          <w:kern w:val="0"/>
          <w:sz w:val="20"/>
          <w:szCs w:val="20"/>
        </w:rPr>
        <w:t>we further modify the CL</w:t>
      </w:r>
      <w:r>
        <w:rPr>
          <w:rFonts w:ascii="Times New Roman" w:hAnsi="Times New Roman" w:eastAsia="等线" w:cs="Times New Roman"/>
          <w:kern w:val="0"/>
          <w:sz w:val="20"/>
          <w:szCs w:val="20"/>
          <w:vertAlign w:val="subscript"/>
        </w:rPr>
        <w:t>x-tile</w:t>
      </w:r>
      <w:r>
        <w:rPr>
          <w:rFonts w:ascii="Times New Roman" w:hAnsi="Times New Roman" w:eastAsia="等线" w:cs="Times New Roman"/>
          <w:kern w:val="0"/>
          <w:sz w:val="20"/>
          <w:szCs w:val="20"/>
        </w:rPr>
        <w:t xml:space="preserve"> </w:t>
      </w:r>
      <w:r>
        <w:rPr>
          <w:rFonts w:hint="eastAsia" w:ascii="Times New Roman" w:hAnsi="Times New Roman" w:eastAsia="等线" w:cs="Times New Roman"/>
          <w:kern w:val="0"/>
          <w:sz w:val="20"/>
          <w:szCs w:val="20"/>
          <w:lang w:val="en-US" w:eastAsia="zh-CN"/>
        </w:rPr>
        <w:t xml:space="preserve">based on the approaches in [4] </w:t>
      </w:r>
      <w:r>
        <w:rPr>
          <w:rFonts w:ascii="Times New Roman" w:hAnsi="Times New Roman" w:eastAsia="等线" w:cs="Times New Roman"/>
          <w:kern w:val="0"/>
          <w:sz w:val="20"/>
          <w:szCs w:val="20"/>
        </w:rPr>
        <w:t xml:space="preserve">so that the target SNR </w:t>
      </w:r>
      <w:r>
        <w:rPr>
          <w:rFonts w:hint="eastAsia" w:ascii="Times New Roman" w:hAnsi="Times New Roman" w:eastAsia="等线" w:cs="Times New Roman"/>
          <w:kern w:val="0"/>
          <w:sz w:val="20"/>
          <w:szCs w:val="20"/>
          <w:lang w:val="en-US" w:eastAsia="zh-CN"/>
        </w:rPr>
        <w:t xml:space="preserve">could achieve up to higher target SNR such as 31dB, which is ~3dB </w:t>
      </w:r>
      <w:r>
        <w:rPr>
          <w:rFonts w:hint="eastAsia" w:eastAsia="宋体" w:cs="Times New Roman"/>
          <w:b w:val="0"/>
          <w:kern w:val="24"/>
          <w:szCs w:val="24"/>
          <w:lang w:val="en-US" w:eastAsia="zh-CN"/>
        </w:rPr>
        <w:t>above the operating SNR recommended by moderator for UL 256QAM.</w:t>
      </w:r>
    </w:p>
    <w:p>
      <w:pPr>
        <w:spacing w:after="120" w:line="240" w:lineRule="auto"/>
        <w:jc w:val="both"/>
        <w:rPr>
          <w:rFonts w:hint="default" w:ascii="Times New Roman" w:hAnsi="Times New Roman" w:eastAsia="宋体" w:cs="Times New Roman"/>
          <w:b w:val="0"/>
          <w:kern w:val="24"/>
          <w:szCs w:val="24"/>
          <w:lang w:val="en-US" w:eastAsia="zh-CN"/>
        </w:rPr>
      </w:pPr>
      <w:r>
        <w:rPr>
          <w:rFonts w:hint="eastAsia"/>
          <w:szCs w:val="24"/>
          <w:lang w:val="en-US" w:eastAsia="zh-CN"/>
        </w:rPr>
        <w:t xml:space="preserve">In order </w:t>
      </w:r>
      <w:r>
        <w:rPr>
          <w:szCs w:val="24"/>
          <w:lang w:eastAsia="zh-CN"/>
        </w:rPr>
        <w:t xml:space="preserve">to check whether the UE working on </w:t>
      </w:r>
      <w:r>
        <w:rPr>
          <w:rFonts w:hint="eastAsia"/>
          <w:szCs w:val="24"/>
          <w:lang w:eastAsia="zh-CN"/>
        </w:rPr>
        <w:t>FR</w:t>
      </w:r>
      <w:r>
        <w:rPr>
          <w:szCs w:val="24"/>
          <w:lang w:eastAsia="zh-CN"/>
        </w:rPr>
        <w:t xml:space="preserve">2 UL 256QAM can achieve target SNR at BS side </w:t>
      </w:r>
      <w:r>
        <w:rPr>
          <w:rFonts w:hint="eastAsia"/>
          <w:szCs w:val="24"/>
          <w:lang w:val="en-US" w:eastAsia="zh-CN"/>
        </w:rPr>
        <w:t xml:space="preserve">we provide some system level simulation results </w:t>
      </w:r>
      <w:r>
        <w:rPr>
          <w:rFonts w:hint="eastAsia" w:ascii="Times New Roman" w:hAnsi="Times New Roman" w:eastAsia="宋体" w:cs="Times New Roman"/>
          <w:b w:val="0"/>
          <w:kern w:val="24"/>
          <w:szCs w:val="24"/>
          <w:lang w:val="en-US" w:eastAsia="zh-CN"/>
        </w:rPr>
        <w:t>with target SNR of 31dB</w:t>
      </w:r>
      <w:r>
        <w:rPr>
          <w:rFonts w:hint="eastAsia" w:eastAsia="宋体" w:cs="Times New Roman"/>
          <w:b w:val="0"/>
          <w:kern w:val="24"/>
          <w:szCs w:val="24"/>
          <w:lang w:val="en-US" w:eastAsia="zh-CN"/>
        </w:rPr>
        <w:t xml:space="preserve"> </w:t>
      </w:r>
      <w:r>
        <w:rPr>
          <w:rFonts w:hint="eastAsia" w:ascii="Times New Roman" w:hAnsi="Times New Roman" w:eastAsia="宋体" w:cs="Times New Roman"/>
          <w:b w:val="0"/>
          <w:kern w:val="24"/>
          <w:szCs w:val="24"/>
          <w:lang w:val="en-US" w:eastAsia="zh-CN"/>
        </w:rPr>
        <w:t xml:space="preserve">and </w:t>
      </w:r>
      <w:r>
        <w:rPr>
          <w:rFonts w:hint="eastAsia" w:eastAsia="宋体" w:cs="Times New Roman"/>
          <w:b w:val="0"/>
          <w:kern w:val="24"/>
          <w:szCs w:val="24"/>
          <w:lang w:val="en-US" w:eastAsia="zh-CN"/>
        </w:rPr>
        <w:t>proposed Min peak EIRP</w:t>
      </w:r>
      <w:r>
        <w:rPr>
          <w:rFonts w:hint="eastAsia"/>
          <w:szCs w:val="24"/>
          <w:lang w:val="en-US" w:eastAsia="zh-CN"/>
        </w:rPr>
        <w:t xml:space="preserve">. </w:t>
      </w:r>
      <w:r>
        <w:rPr>
          <w:rFonts w:hint="eastAsia" w:eastAsia="宋体" w:cs="Times New Roman"/>
          <w:b w:val="0"/>
          <w:kern w:val="24"/>
          <w:szCs w:val="24"/>
          <w:lang w:val="en-US" w:eastAsia="zh-CN"/>
        </w:rPr>
        <w:t>F</w:t>
      </w:r>
      <w:r>
        <w:rPr>
          <w:rFonts w:hint="eastAsia" w:ascii="Times New Roman" w:hAnsi="Times New Roman" w:eastAsia="宋体" w:cs="Times New Roman"/>
          <w:b w:val="0"/>
          <w:kern w:val="24"/>
          <w:szCs w:val="24"/>
          <w:lang w:val="en-US" w:eastAsia="zh-CN"/>
        </w:rPr>
        <w:t xml:space="preserve">igure 4~figure </w:t>
      </w:r>
      <w:r>
        <w:rPr>
          <w:rFonts w:hint="eastAsia" w:eastAsia="宋体" w:cs="Times New Roman"/>
          <w:b w:val="0"/>
          <w:kern w:val="24"/>
          <w:szCs w:val="24"/>
          <w:lang w:val="en-US" w:eastAsia="zh-CN"/>
        </w:rPr>
        <w:t>7</w:t>
      </w:r>
      <w:r>
        <w:rPr>
          <w:rFonts w:hint="eastAsia" w:ascii="Times New Roman" w:hAnsi="Times New Roman" w:eastAsia="宋体" w:cs="Times New Roman"/>
          <w:b w:val="0"/>
          <w:kern w:val="24"/>
          <w:szCs w:val="24"/>
          <w:lang w:val="en-US" w:eastAsia="zh-CN"/>
        </w:rPr>
        <w:t xml:space="preserve"> </w:t>
      </w:r>
      <w:r>
        <w:rPr>
          <w:rFonts w:hint="eastAsia" w:eastAsia="宋体" w:cs="Times New Roman"/>
          <w:b w:val="0"/>
          <w:kern w:val="24"/>
          <w:szCs w:val="24"/>
          <w:lang w:val="en-US" w:eastAsia="zh-CN"/>
        </w:rPr>
        <w:t>show the CDF of SINR for PC1, PC2, PC3 and PC5 in band n257</w:t>
      </w:r>
      <w:r>
        <w:rPr>
          <w:rFonts w:hint="eastAsia" w:ascii="Times New Roman" w:hAnsi="Times New Roman" w:eastAsia="宋体" w:cs="Times New Roman"/>
          <w:b w:val="0"/>
          <w:kern w:val="24"/>
          <w:szCs w:val="24"/>
          <w:lang w:val="en-US" w:eastAsia="zh-CN"/>
        </w:rPr>
        <w:t>.</w:t>
      </w:r>
      <w:r>
        <w:rPr>
          <w:rFonts w:hint="eastAsia" w:eastAsia="宋体" w:cs="Times New Roman"/>
          <w:b w:val="0"/>
          <w:kern w:val="24"/>
          <w:szCs w:val="24"/>
          <w:lang w:val="en-US" w:eastAsia="zh-CN"/>
        </w:rPr>
        <w:t xml:space="preserve"> </w:t>
      </w:r>
    </w:p>
    <w:p>
      <w:pPr>
        <w:jc w:val="center"/>
      </w:pPr>
      <w:r>
        <w:drawing>
          <wp:inline distT="0" distB="0" distL="114300" distR="114300">
            <wp:extent cx="3075305" cy="2609215"/>
            <wp:effectExtent l="0" t="0" r="3175" b="1206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8"/>
                    <a:stretch>
                      <a:fillRect/>
                    </a:stretch>
                  </pic:blipFill>
                  <pic:spPr>
                    <a:xfrm>
                      <a:off x="0" y="0"/>
                      <a:ext cx="3075305" cy="2609215"/>
                    </a:xfrm>
                    <a:prstGeom prst="rect">
                      <a:avLst/>
                    </a:prstGeom>
                    <a:noFill/>
                    <a:ln>
                      <a:noFill/>
                    </a:ln>
                  </pic:spPr>
                </pic:pic>
              </a:graphicData>
            </a:graphic>
          </wp:inline>
        </w:drawing>
      </w:r>
    </w:p>
    <w:p>
      <w:pPr>
        <w:jc w:val="center"/>
        <w:rPr>
          <w:rFonts w:hint="default" w:cs="Times New Roman"/>
          <w:b/>
          <w:lang w:val="en-US" w:eastAsia="zh-CN"/>
        </w:rPr>
      </w:pPr>
      <w:r>
        <w:rPr>
          <w:rFonts w:hint="default" w:ascii="Times New Roman" w:hAnsi="Times New Roman" w:cs="Times New Roman"/>
          <w:b/>
          <w:lang w:eastAsia="zh-CN"/>
        </w:rPr>
        <w:t xml:space="preserve">Figure </w:t>
      </w:r>
      <w:r>
        <w:rPr>
          <w:rFonts w:hint="eastAsia" w:cs="Times New Roman"/>
          <w:b/>
          <w:lang w:val="en-US" w:eastAsia="zh-CN"/>
        </w:rPr>
        <w:t>4,</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CDF of SINR for PC1 under Urban Macro with Fc = 29GHz</w:t>
      </w:r>
    </w:p>
    <w:p>
      <w:pPr>
        <w:jc w:val="center"/>
      </w:pPr>
      <w:r>
        <w:drawing>
          <wp:inline distT="0" distB="0" distL="114300" distR="114300">
            <wp:extent cx="3148965" cy="2240915"/>
            <wp:effectExtent l="0" t="0" r="5715" b="1460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9"/>
                    <a:srcRect r="1072"/>
                    <a:stretch>
                      <a:fillRect/>
                    </a:stretch>
                  </pic:blipFill>
                  <pic:spPr>
                    <a:xfrm>
                      <a:off x="0" y="0"/>
                      <a:ext cx="3148965" cy="2240915"/>
                    </a:xfrm>
                    <a:prstGeom prst="rect">
                      <a:avLst/>
                    </a:prstGeom>
                    <a:noFill/>
                    <a:ln>
                      <a:noFill/>
                    </a:ln>
                  </pic:spPr>
                </pic:pic>
              </a:graphicData>
            </a:graphic>
          </wp:inline>
        </w:drawing>
      </w:r>
    </w:p>
    <w:p>
      <w:pPr>
        <w:jc w:val="center"/>
        <w:rPr>
          <w:rFonts w:hint="eastAsia" w:ascii="Times New Roman" w:hAnsi="Times New Roman" w:cs="Times New Roman"/>
          <w:b/>
          <w:lang w:val="en-US" w:eastAsia="zh-CN"/>
        </w:rPr>
      </w:pPr>
      <w:r>
        <w:rPr>
          <w:rFonts w:hint="default" w:ascii="Times New Roman" w:hAnsi="Times New Roman" w:cs="Times New Roman"/>
          <w:b/>
          <w:lang w:eastAsia="zh-CN"/>
        </w:rPr>
        <w:t xml:space="preserve">Figure </w:t>
      </w:r>
      <w:r>
        <w:rPr>
          <w:rFonts w:hint="eastAsia" w:cs="Times New Roman"/>
          <w:b/>
          <w:lang w:val="en-US" w:eastAsia="zh-CN"/>
        </w:rPr>
        <w:t>5</w:t>
      </w:r>
      <w:r>
        <w:rPr>
          <w:rFonts w:hint="eastAsia" w:ascii="Times New Roman" w:hAnsi="Times New Roman" w:cs="Times New Roman"/>
          <w:b/>
          <w:lang w:val="en-US" w:eastAsia="zh-CN"/>
        </w:rPr>
        <w:t>,</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CDF of SINR for PC2 under Urban Macro with Fc = 29GHz</w:t>
      </w:r>
    </w:p>
    <w:p>
      <w:pPr>
        <w:jc w:val="center"/>
      </w:pPr>
      <w:r>
        <w:drawing>
          <wp:inline distT="0" distB="0" distL="114300" distR="114300">
            <wp:extent cx="3164840" cy="2665730"/>
            <wp:effectExtent l="0" t="0" r="5080" b="12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0"/>
                    <a:stretch>
                      <a:fillRect/>
                    </a:stretch>
                  </pic:blipFill>
                  <pic:spPr>
                    <a:xfrm>
                      <a:off x="0" y="0"/>
                      <a:ext cx="3164840" cy="2665730"/>
                    </a:xfrm>
                    <a:prstGeom prst="rect">
                      <a:avLst/>
                    </a:prstGeom>
                    <a:noFill/>
                    <a:ln>
                      <a:noFill/>
                    </a:ln>
                  </pic:spPr>
                </pic:pic>
              </a:graphicData>
            </a:graphic>
          </wp:inline>
        </w:drawing>
      </w:r>
    </w:p>
    <w:p>
      <w:pPr>
        <w:jc w:val="center"/>
        <w:rPr>
          <w:rFonts w:hint="eastAsia"/>
          <w:lang w:val="en-US" w:eastAsia="zh-CN"/>
        </w:rPr>
      </w:pPr>
      <w:r>
        <w:rPr>
          <w:rFonts w:hint="default" w:ascii="Times New Roman" w:hAnsi="Times New Roman" w:cs="Times New Roman"/>
          <w:b/>
          <w:lang w:eastAsia="zh-CN"/>
        </w:rPr>
        <w:t xml:space="preserve">Figure </w:t>
      </w:r>
      <w:r>
        <w:rPr>
          <w:rFonts w:hint="eastAsia" w:cs="Times New Roman"/>
          <w:b/>
          <w:lang w:val="en-US" w:eastAsia="zh-CN"/>
        </w:rPr>
        <w:t>6</w:t>
      </w:r>
      <w:r>
        <w:rPr>
          <w:rFonts w:hint="eastAsia" w:ascii="Times New Roman" w:hAnsi="Times New Roman" w:cs="Times New Roman"/>
          <w:b/>
          <w:lang w:val="en-US" w:eastAsia="zh-CN"/>
        </w:rPr>
        <w:t>,</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CDF of SINR for PC</w:t>
      </w:r>
      <w:r>
        <w:rPr>
          <w:rFonts w:hint="eastAsia" w:cs="Times New Roman"/>
          <w:b/>
          <w:lang w:val="en-US" w:eastAsia="zh-CN"/>
        </w:rPr>
        <w:t>3</w:t>
      </w:r>
      <w:r>
        <w:rPr>
          <w:rFonts w:hint="eastAsia" w:ascii="Times New Roman" w:hAnsi="Times New Roman" w:cs="Times New Roman"/>
          <w:b/>
          <w:lang w:val="en-US" w:eastAsia="zh-CN"/>
        </w:rPr>
        <w:t xml:space="preserve"> under Urban Macro with Fc = 29GHz</w:t>
      </w:r>
    </w:p>
    <w:p>
      <w:pPr>
        <w:spacing w:after="0" w:line="240" w:lineRule="auto"/>
        <w:jc w:val="center"/>
      </w:pPr>
      <w:r>
        <w:drawing>
          <wp:inline distT="0" distB="0" distL="114300" distR="114300">
            <wp:extent cx="3201670" cy="2653665"/>
            <wp:effectExtent l="0" t="0" r="13970" b="133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stretch>
                      <a:fillRect/>
                    </a:stretch>
                  </pic:blipFill>
                  <pic:spPr>
                    <a:xfrm>
                      <a:off x="0" y="0"/>
                      <a:ext cx="3201670" cy="2653665"/>
                    </a:xfrm>
                    <a:prstGeom prst="rect">
                      <a:avLst/>
                    </a:prstGeom>
                    <a:noFill/>
                    <a:ln>
                      <a:noFill/>
                    </a:ln>
                  </pic:spPr>
                </pic:pic>
              </a:graphicData>
            </a:graphic>
          </wp:inline>
        </w:drawing>
      </w:r>
    </w:p>
    <w:p>
      <w:pPr>
        <w:jc w:val="center"/>
        <w:rPr>
          <w:rFonts w:hint="eastAsia" w:ascii="Times New Roman" w:hAnsi="Times New Roman" w:cs="Times New Roman"/>
          <w:b/>
          <w:lang w:val="en-US" w:eastAsia="zh-CN"/>
        </w:rPr>
      </w:pPr>
      <w:r>
        <w:rPr>
          <w:rFonts w:hint="default" w:ascii="Times New Roman" w:hAnsi="Times New Roman" w:cs="Times New Roman"/>
          <w:b/>
          <w:lang w:eastAsia="zh-CN"/>
        </w:rPr>
        <w:t xml:space="preserve">Figure </w:t>
      </w:r>
      <w:r>
        <w:rPr>
          <w:rFonts w:hint="eastAsia" w:cs="Times New Roman"/>
          <w:b/>
          <w:lang w:val="en-US" w:eastAsia="zh-CN"/>
        </w:rPr>
        <w:t>7</w:t>
      </w:r>
      <w:r>
        <w:rPr>
          <w:rFonts w:hint="eastAsia" w:ascii="Times New Roman" w:hAnsi="Times New Roman" w:cs="Times New Roman"/>
          <w:b/>
          <w:lang w:val="en-US" w:eastAsia="zh-CN"/>
        </w:rPr>
        <w:t>,</w:t>
      </w:r>
      <w:r>
        <w:rPr>
          <w:rFonts w:hint="default" w:ascii="Times New Roman" w:hAnsi="Times New Roman" w:cs="Times New Roman"/>
          <w:b/>
          <w:lang w:eastAsia="zh-CN"/>
        </w:rPr>
        <w:t xml:space="preserve"> </w:t>
      </w:r>
      <w:r>
        <w:rPr>
          <w:rFonts w:hint="eastAsia" w:ascii="Times New Roman" w:hAnsi="Times New Roman" w:cs="Times New Roman"/>
          <w:b/>
          <w:lang w:val="en-US" w:eastAsia="zh-CN"/>
        </w:rPr>
        <w:t>CDF of SINR for PC</w:t>
      </w:r>
      <w:r>
        <w:rPr>
          <w:rFonts w:hint="eastAsia" w:cs="Times New Roman"/>
          <w:b/>
          <w:lang w:val="en-US" w:eastAsia="zh-CN"/>
        </w:rPr>
        <w:t>5</w:t>
      </w:r>
      <w:r>
        <w:rPr>
          <w:rFonts w:hint="eastAsia" w:ascii="Times New Roman" w:hAnsi="Times New Roman" w:cs="Times New Roman"/>
          <w:b/>
          <w:lang w:val="en-US" w:eastAsia="zh-CN"/>
        </w:rPr>
        <w:t xml:space="preserve"> under Urban Macro with Fc = 29GHz</w:t>
      </w:r>
    </w:p>
    <w:p>
      <w:pPr>
        <w:spacing w:after="0" w:line="240" w:lineRule="auto"/>
        <w:jc w:val="both"/>
        <w:rPr>
          <w:rFonts w:hint="default" w:ascii="Times New Roman" w:hAnsi="Times New Roman" w:eastAsia="宋体" w:cs="Times New Roman"/>
          <w:b w:val="0"/>
          <w:kern w:val="24"/>
          <w:szCs w:val="24"/>
          <w:lang w:val="en-US" w:eastAsia="zh-CN"/>
        </w:rPr>
      </w:pPr>
      <w:r>
        <w:rPr>
          <w:rFonts w:hint="eastAsia" w:ascii="Times New Roman" w:hAnsi="Times New Roman" w:eastAsia="宋体" w:cs="Times New Roman"/>
          <w:b w:val="0"/>
          <w:kern w:val="24"/>
          <w:szCs w:val="24"/>
          <w:lang w:val="en-US" w:eastAsia="zh-CN"/>
        </w:rPr>
        <w:t xml:space="preserve">From figure 4~figure </w:t>
      </w:r>
      <w:r>
        <w:rPr>
          <w:rFonts w:hint="eastAsia" w:eastAsia="宋体" w:cs="Times New Roman"/>
          <w:b w:val="0"/>
          <w:kern w:val="24"/>
          <w:szCs w:val="24"/>
          <w:lang w:val="en-US" w:eastAsia="zh-CN"/>
        </w:rPr>
        <w:t>7</w:t>
      </w:r>
      <w:r>
        <w:rPr>
          <w:rFonts w:hint="eastAsia" w:ascii="Times New Roman" w:hAnsi="Times New Roman" w:eastAsia="宋体" w:cs="Times New Roman"/>
          <w:b w:val="0"/>
          <w:kern w:val="24"/>
          <w:szCs w:val="24"/>
          <w:lang w:val="en-US" w:eastAsia="zh-CN"/>
        </w:rPr>
        <w:t xml:space="preserve"> we can find that 5% </w:t>
      </w:r>
      <w:bookmarkStart w:id="8" w:name="OLE_LINK7"/>
      <w:r>
        <w:rPr>
          <w:rFonts w:hint="eastAsia" w:ascii="Times New Roman" w:hAnsi="Times New Roman" w:eastAsia="宋体" w:cs="Times New Roman"/>
          <w:b w:val="0"/>
          <w:kern w:val="24"/>
          <w:szCs w:val="24"/>
          <w:lang w:val="en-US" w:eastAsia="zh-CN"/>
        </w:rPr>
        <w:t xml:space="preserve">UE can </w:t>
      </w:r>
      <w:r>
        <w:rPr>
          <w:rFonts w:hint="eastAsia" w:eastAsia="宋体" w:cs="Times New Roman"/>
          <w:b w:val="0"/>
          <w:kern w:val="24"/>
          <w:szCs w:val="24"/>
          <w:lang w:val="en-US" w:eastAsia="zh-CN"/>
        </w:rPr>
        <w:t>achieve above</w:t>
      </w:r>
      <w:r>
        <w:rPr>
          <w:rFonts w:hint="eastAsia" w:ascii="Times New Roman" w:hAnsi="Times New Roman" w:eastAsia="宋体" w:cs="Times New Roman"/>
          <w:b w:val="0"/>
          <w:kern w:val="24"/>
          <w:szCs w:val="24"/>
          <w:lang w:val="en-US" w:eastAsia="zh-CN"/>
        </w:rPr>
        <w:t xml:space="preserve"> 30dB SINR</w:t>
      </w:r>
      <w:bookmarkEnd w:id="8"/>
      <w:r>
        <w:rPr>
          <w:rFonts w:hint="eastAsia" w:ascii="Times New Roman" w:hAnsi="Times New Roman" w:eastAsia="宋体" w:cs="Times New Roman"/>
          <w:b w:val="0"/>
          <w:kern w:val="24"/>
          <w:szCs w:val="24"/>
          <w:lang w:val="en-US" w:eastAsia="zh-CN"/>
        </w:rPr>
        <w:t xml:space="preserve"> which show that PC1, PC2</w:t>
      </w:r>
      <w:r>
        <w:rPr>
          <w:rFonts w:hint="eastAsia" w:eastAsia="宋体" w:cs="Times New Roman"/>
          <w:b w:val="0"/>
          <w:kern w:val="24"/>
          <w:szCs w:val="24"/>
          <w:lang w:val="en-US" w:eastAsia="zh-CN"/>
        </w:rPr>
        <w:t xml:space="preserve"> </w:t>
      </w:r>
      <w:r>
        <w:rPr>
          <w:rFonts w:hint="eastAsia" w:ascii="Times New Roman" w:hAnsi="Times New Roman" w:eastAsia="宋体" w:cs="Times New Roman"/>
          <w:b w:val="0"/>
          <w:kern w:val="24"/>
          <w:szCs w:val="24"/>
          <w:lang w:val="en-US" w:eastAsia="zh-CN"/>
        </w:rPr>
        <w:t>and PC5 @29GHz are feasible for UL 256QAM.</w:t>
      </w:r>
      <w:r>
        <w:rPr>
          <w:rFonts w:hint="eastAsia" w:eastAsia="宋体" w:cs="Times New Roman"/>
          <w:b w:val="0"/>
          <w:kern w:val="24"/>
          <w:szCs w:val="24"/>
          <w:lang w:val="en-US" w:eastAsia="zh-CN"/>
        </w:rPr>
        <w:t xml:space="preserve"> If the </w:t>
      </w:r>
      <w:bookmarkStart w:id="9" w:name="OLE_LINK6"/>
      <w:r>
        <w:rPr>
          <w:rFonts w:hint="eastAsia" w:eastAsia="宋体" w:cs="Times New Roman"/>
          <w:b w:val="0"/>
          <w:kern w:val="24"/>
          <w:szCs w:val="24"/>
          <w:lang w:val="en-US" w:eastAsia="zh-CN"/>
        </w:rPr>
        <w:t>operating SNR</w:t>
      </w:r>
      <w:bookmarkEnd w:id="9"/>
      <w:r>
        <w:rPr>
          <w:rFonts w:hint="eastAsia" w:eastAsia="宋体" w:cs="Times New Roman"/>
          <w:b w:val="0"/>
          <w:kern w:val="24"/>
          <w:szCs w:val="24"/>
          <w:lang w:val="en-US" w:eastAsia="zh-CN"/>
        </w:rPr>
        <w:t xml:space="preserve"> is smaller than 30dB, then the percentage of UE meet the target SNR will increase, for example, ~10% </w:t>
      </w:r>
      <w:r>
        <w:rPr>
          <w:rFonts w:hint="eastAsia" w:ascii="Times New Roman" w:hAnsi="Times New Roman" w:eastAsia="宋体" w:cs="Times New Roman"/>
          <w:b w:val="0"/>
          <w:kern w:val="24"/>
          <w:szCs w:val="24"/>
          <w:lang w:val="en-US" w:eastAsia="zh-CN"/>
        </w:rPr>
        <w:t>UE can achi</w:t>
      </w:r>
      <w:r>
        <w:rPr>
          <w:rFonts w:hint="eastAsia" w:eastAsia="宋体" w:cs="Times New Roman"/>
          <w:b w:val="0"/>
          <w:kern w:val="24"/>
          <w:szCs w:val="24"/>
          <w:lang w:val="en-US" w:eastAsia="zh-CN"/>
        </w:rPr>
        <w:t>e</w:t>
      </w:r>
      <w:r>
        <w:rPr>
          <w:rFonts w:hint="eastAsia" w:ascii="Times New Roman" w:hAnsi="Times New Roman" w:eastAsia="宋体" w:cs="Times New Roman"/>
          <w:b w:val="0"/>
          <w:kern w:val="24"/>
          <w:szCs w:val="24"/>
          <w:lang w:val="en-US" w:eastAsia="zh-CN"/>
        </w:rPr>
        <w:t>ve</w:t>
      </w:r>
      <w:r>
        <w:rPr>
          <w:rFonts w:hint="eastAsia" w:eastAsia="宋体" w:cs="Times New Roman"/>
          <w:b w:val="0"/>
          <w:kern w:val="24"/>
          <w:szCs w:val="24"/>
          <w:lang w:val="en-US" w:eastAsia="zh-CN"/>
        </w:rPr>
        <w:t xml:space="preserve"> above</w:t>
      </w:r>
      <w:r>
        <w:rPr>
          <w:rFonts w:hint="eastAsia" w:ascii="Times New Roman" w:hAnsi="Times New Roman" w:eastAsia="宋体" w:cs="Times New Roman"/>
          <w:b w:val="0"/>
          <w:kern w:val="24"/>
          <w:szCs w:val="24"/>
          <w:lang w:val="en-US" w:eastAsia="zh-CN"/>
        </w:rPr>
        <w:t xml:space="preserve"> </w:t>
      </w:r>
      <w:r>
        <w:rPr>
          <w:rFonts w:hint="eastAsia" w:eastAsia="宋体" w:cs="Times New Roman"/>
          <w:b w:val="0"/>
          <w:kern w:val="24"/>
          <w:szCs w:val="24"/>
          <w:lang w:val="en-US" w:eastAsia="zh-CN"/>
        </w:rPr>
        <w:t>28</w:t>
      </w:r>
      <w:r>
        <w:rPr>
          <w:rFonts w:hint="eastAsia" w:ascii="Times New Roman" w:hAnsi="Times New Roman" w:eastAsia="宋体" w:cs="Times New Roman"/>
          <w:b w:val="0"/>
          <w:kern w:val="24"/>
          <w:szCs w:val="24"/>
          <w:lang w:val="en-US" w:eastAsia="zh-CN"/>
        </w:rPr>
        <w:t>dB SINR</w:t>
      </w:r>
      <w:r>
        <w:rPr>
          <w:rFonts w:hint="eastAsia" w:eastAsia="宋体" w:cs="Times New Roman"/>
          <w:b w:val="0"/>
          <w:kern w:val="24"/>
          <w:szCs w:val="24"/>
          <w:lang w:val="en-US" w:eastAsia="zh-CN"/>
        </w:rPr>
        <w:t xml:space="preserve"> even for PC3.</w:t>
      </w:r>
    </w:p>
    <w:p>
      <w:pPr>
        <w:spacing w:after="120" w:line="240" w:lineRule="auto"/>
        <w:jc w:val="left"/>
      </w:pPr>
      <w:r>
        <w:rPr>
          <w:rFonts w:hint="eastAsia" w:ascii="Times New Roman" w:hAnsi="Times New Roman" w:eastAsia="宋体" w:cs="Times New Roman"/>
          <w:b/>
          <w:kern w:val="0"/>
          <w:szCs w:val="20"/>
          <w:lang w:val="en-US" w:eastAsia="zh-CN"/>
        </w:rPr>
        <w:t xml:space="preserve">Observation </w:t>
      </w:r>
      <w:r>
        <w:rPr>
          <w:rFonts w:hint="eastAsia" w:eastAsia="宋体" w:cs="Times New Roman"/>
          <w:b/>
          <w:kern w:val="0"/>
          <w:szCs w:val="20"/>
          <w:lang w:val="en-US" w:eastAsia="zh-CN"/>
        </w:rPr>
        <w:t>3</w:t>
      </w:r>
      <w:r>
        <w:rPr>
          <w:rFonts w:hint="eastAsia" w:ascii="Times New Roman" w:hAnsi="Times New Roman" w:eastAsia="宋体" w:cs="Times New Roman"/>
          <w:b/>
          <w:kern w:val="0"/>
          <w:szCs w:val="20"/>
          <w:lang w:val="en-US" w:eastAsia="zh-CN"/>
        </w:rPr>
        <w:t>: PC1</w:t>
      </w:r>
      <w:r>
        <w:rPr>
          <w:rFonts w:hint="eastAsia" w:eastAsia="宋体" w:cs="Times New Roman"/>
          <w:b/>
          <w:kern w:val="0"/>
          <w:szCs w:val="20"/>
          <w:lang w:val="en-US" w:eastAsia="zh-CN"/>
        </w:rPr>
        <w:t>,</w:t>
      </w:r>
      <w:r>
        <w:rPr>
          <w:rFonts w:hint="eastAsia" w:ascii="Times New Roman" w:hAnsi="Times New Roman" w:eastAsia="宋体" w:cs="Times New Roman"/>
          <w:b/>
          <w:kern w:val="0"/>
          <w:szCs w:val="20"/>
          <w:lang w:val="en-US" w:eastAsia="zh-CN"/>
        </w:rPr>
        <w:t xml:space="preserve"> PC2</w:t>
      </w:r>
      <w:r>
        <w:rPr>
          <w:rFonts w:hint="eastAsia" w:eastAsia="宋体" w:cs="Times New Roman"/>
          <w:b/>
          <w:kern w:val="0"/>
          <w:szCs w:val="20"/>
          <w:lang w:val="en-US" w:eastAsia="zh-CN"/>
        </w:rPr>
        <w:t>,</w:t>
      </w:r>
      <w:r>
        <w:rPr>
          <w:rFonts w:hint="eastAsia" w:ascii="Times New Roman" w:hAnsi="Times New Roman" w:eastAsia="宋体" w:cs="Times New Roman"/>
          <w:b/>
          <w:kern w:val="0"/>
          <w:szCs w:val="20"/>
          <w:lang w:val="en-US" w:eastAsia="zh-CN"/>
        </w:rPr>
        <w:t xml:space="preserve"> PC</w:t>
      </w:r>
      <w:r>
        <w:rPr>
          <w:rFonts w:hint="eastAsia" w:eastAsia="宋体" w:cs="Times New Roman"/>
          <w:b/>
          <w:kern w:val="0"/>
          <w:szCs w:val="20"/>
          <w:lang w:val="en-US" w:eastAsia="zh-CN"/>
        </w:rPr>
        <w:t xml:space="preserve">3 and </w:t>
      </w:r>
      <w:r>
        <w:rPr>
          <w:rFonts w:hint="eastAsia" w:ascii="Times New Roman" w:hAnsi="Times New Roman" w:eastAsia="宋体" w:cs="Times New Roman"/>
          <w:b/>
          <w:kern w:val="0"/>
          <w:szCs w:val="20"/>
          <w:lang w:val="en-US" w:eastAsia="zh-CN"/>
        </w:rPr>
        <w:t>PC5 are feasible for UL 256QAM for 29GHz</w:t>
      </w:r>
      <w:r>
        <w:rPr>
          <w:rFonts w:hint="eastAsia" w:eastAsia="宋体" w:cs="Times New Roman"/>
          <w:b/>
          <w:kern w:val="0"/>
          <w:szCs w:val="20"/>
          <w:lang w:val="en-US" w:eastAsia="zh-CN"/>
        </w:rPr>
        <w:t xml:space="preserve"> if the operating SN</w:t>
      </w:r>
      <w:bookmarkStart w:id="12" w:name="_GoBack"/>
      <w:bookmarkEnd w:id="12"/>
      <w:r>
        <w:rPr>
          <w:rFonts w:hint="eastAsia" w:eastAsia="宋体" w:cs="Times New Roman"/>
          <w:b/>
          <w:kern w:val="0"/>
          <w:szCs w:val="20"/>
          <w:lang w:val="en-US" w:eastAsia="zh-CN"/>
        </w:rPr>
        <w:t>R is not higher than 28dB</w:t>
      </w:r>
      <w:r>
        <w:rPr>
          <w:rFonts w:hint="eastAsia" w:ascii="Times New Roman" w:hAnsi="Times New Roman" w:eastAsia="宋体" w:cs="Times New Roman"/>
          <w:b/>
          <w:kern w:val="0"/>
          <w:szCs w:val="20"/>
          <w:lang w:val="en-US" w:eastAsia="zh-CN"/>
        </w:rPr>
        <w:t>.</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after="80" w:line="260" w:lineRule="auto"/>
        <w:rPr>
          <w:rFonts w:hint="eastAsia" w:eastAsia="宋体"/>
          <w:bCs/>
          <w:szCs w:val="20"/>
          <w:lang w:val="en-US" w:eastAsia="zh-CN"/>
        </w:rPr>
      </w:pPr>
      <w:r>
        <w:rPr>
          <w:rFonts w:hint="eastAsia" w:eastAsia="宋体"/>
          <w:bCs/>
          <w:szCs w:val="20"/>
          <w:lang w:val="en-US" w:eastAsia="zh-CN"/>
        </w:rPr>
        <w:t xml:space="preserve">In this contribution, </w:t>
      </w:r>
      <w:r>
        <w:rPr>
          <w:rFonts w:hint="eastAsia" w:eastAsia="宋体" w:cs="Times New Roman"/>
          <w:szCs w:val="20"/>
          <w:lang w:val="en-US" w:eastAsia="zh-CN" w:bidi="ar-SA"/>
        </w:rPr>
        <w:t xml:space="preserve">we provide additional link level simulation results of MCS22 for </w:t>
      </w:r>
      <w:r>
        <w:rPr>
          <w:rFonts w:hint="eastAsia" w:eastAsia="宋体"/>
          <w:szCs w:val="20"/>
          <w:lang w:val="en-US" w:eastAsia="zh-CN"/>
        </w:rPr>
        <w:t>CP-OFDM for 39GHz</w:t>
      </w:r>
      <w:r>
        <w:rPr>
          <w:rFonts w:hint="eastAsia" w:eastAsia="宋体" w:cs="Times New Roman"/>
          <w:szCs w:val="20"/>
          <w:lang w:val="en-US" w:eastAsia="zh-CN" w:bidi="ar-SA"/>
        </w:rPr>
        <w:t>. In addition, we provide some initial simulation results based on the approved simulation assumption, meanwhile some proposals on simulation assumption are given.</w:t>
      </w:r>
    </w:p>
    <w:p>
      <w:pPr>
        <w:suppressAutoHyphens/>
        <w:spacing w:after="80" w:line="260" w:lineRule="auto"/>
        <w:rPr>
          <w:rFonts w:eastAsia="宋体"/>
          <w:bCs/>
          <w:szCs w:val="20"/>
          <w:lang w:eastAsia="zh-CN"/>
        </w:rPr>
      </w:pPr>
      <w:r>
        <w:rPr>
          <w:rFonts w:eastAsia="宋体"/>
          <w:bCs/>
          <w:szCs w:val="20"/>
          <w:lang w:eastAsia="zh-CN"/>
        </w:rPr>
        <w:t xml:space="preserve">Based on the </w:t>
      </w:r>
      <w:r>
        <w:rPr>
          <w:rFonts w:hint="eastAsia" w:eastAsia="宋体"/>
          <w:bCs/>
          <w:szCs w:val="20"/>
          <w:lang w:val="en-US" w:eastAsia="zh-CN"/>
        </w:rPr>
        <w:t>simulation results</w:t>
      </w:r>
      <w:r>
        <w:rPr>
          <w:rFonts w:eastAsia="宋体"/>
          <w:bCs/>
          <w:szCs w:val="20"/>
          <w:lang w:eastAsia="zh-CN"/>
        </w:rPr>
        <w:t xml:space="preserve">, the following </w:t>
      </w:r>
      <w:r>
        <w:rPr>
          <w:rFonts w:hint="eastAsia" w:eastAsia="宋体"/>
          <w:bCs/>
          <w:szCs w:val="20"/>
          <w:lang w:val="en-US" w:eastAsia="zh-CN"/>
        </w:rPr>
        <w:t>observations and proposals</w:t>
      </w:r>
      <w:r>
        <w:rPr>
          <w:rFonts w:eastAsia="宋体"/>
          <w:bCs/>
          <w:szCs w:val="20"/>
          <w:lang w:eastAsia="zh-CN"/>
        </w:rPr>
        <w:t xml:space="preserve"> </w:t>
      </w:r>
      <w:r>
        <w:rPr>
          <w:rFonts w:hint="eastAsia" w:eastAsia="宋体"/>
          <w:bCs/>
          <w:szCs w:val="20"/>
          <w:lang w:val="en-US" w:eastAsia="zh-CN"/>
        </w:rPr>
        <w:t xml:space="preserve">are </w:t>
      </w:r>
      <w:r>
        <w:rPr>
          <w:rFonts w:eastAsia="宋体"/>
          <w:bCs/>
          <w:szCs w:val="20"/>
          <w:lang w:eastAsia="zh-CN"/>
        </w:rPr>
        <w:t>given:</w:t>
      </w:r>
    </w:p>
    <w:p>
      <w:pPr>
        <w:spacing w:after="0" w:line="240" w:lineRule="auto"/>
        <w:rPr>
          <w:rFonts w:hint="eastAsia" w:eastAsia="宋体"/>
          <w:b/>
          <w:sz w:val="20"/>
          <w:szCs w:val="20"/>
          <w:lang w:val="en-US" w:eastAsia="zh-CN"/>
        </w:rPr>
      </w:pPr>
      <w:r>
        <w:rPr>
          <w:rFonts w:hint="eastAsia" w:ascii="Times New Roman" w:hAnsi="Times New Roman" w:eastAsia="宋体"/>
          <w:b/>
          <w:sz w:val="20"/>
          <w:szCs w:val="20"/>
          <w:lang w:val="en-US" w:eastAsia="zh-CN"/>
        </w:rPr>
        <w:t>Observation</w:t>
      </w:r>
      <w:r>
        <w:rPr>
          <w:rFonts w:hint="eastAsia" w:ascii="Times New Roman" w:hAnsi="Times New Roman"/>
          <w:b/>
          <w:sz w:val="20"/>
          <w:szCs w:val="20"/>
        </w:rPr>
        <w:t xml:space="preserve"> </w:t>
      </w:r>
      <w:r>
        <w:rPr>
          <w:rFonts w:hint="eastAsia" w:eastAsia="宋体"/>
          <w:b/>
          <w:sz w:val="20"/>
          <w:szCs w:val="20"/>
          <w:lang w:val="en-US" w:eastAsia="zh-CN"/>
        </w:rPr>
        <w:t>1</w:t>
      </w:r>
      <w:r>
        <w:rPr>
          <w:rFonts w:hint="eastAsia" w:ascii="Times New Roman" w:hAnsi="Times New Roman"/>
          <w:b/>
          <w:sz w:val="20"/>
          <w:szCs w:val="20"/>
        </w:rPr>
        <w:t>:</w:t>
      </w:r>
      <w:r>
        <w:rPr>
          <w:rFonts w:hint="eastAsia" w:eastAsia="宋体"/>
          <w:b/>
          <w:sz w:val="20"/>
          <w:szCs w:val="20"/>
          <w:lang w:val="en-US" w:eastAsia="zh-CN"/>
        </w:rPr>
        <w:t xml:space="preserve"> For 39GHz:</w:t>
      </w:r>
    </w:p>
    <w:p>
      <w:pPr>
        <w:spacing w:after="120" w:line="240" w:lineRule="auto"/>
        <w:rPr>
          <w:rFonts w:hint="eastAsia" w:eastAsia="宋体"/>
          <w:b/>
          <w:sz w:val="20"/>
          <w:szCs w:val="20"/>
          <w:lang w:val="en-US" w:eastAsia="zh-CN"/>
        </w:rPr>
      </w:pPr>
      <w:r>
        <w:rPr>
          <w:rFonts w:hint="eastAsia" w:eastAsia="宋体"/>
          <w:b/>
          <w:sz w:val="20"/>
          <w:szCs w:val="20"/>
          <w:lang w:val="en-US" w:eastAsia="zh-CN"/>
        </w:rPr>
        <w:t>UL 256QAM performance gain can be expected in the following cases:</w:t>
      </w:r>
    </w:p>
    <w:p>
      <w:pPr>
        <w:numPr>
          <w:ilvl w:val="0"/>
          <w:numId w:val="6"/>
        </w:numPr>
        <w:spacing w:after="120" w:line="240" w:lineRule="auto"/>
        <w:ind w:left="840" w:hanging="420"/>
        <w:rPr>
          <w:rFonts w:hint="eastAsia" w:eastAsia="宋体"/>
          <w:b/>
          <w:sz w:val="20"/>
          <w:szCs w:val="20"/>
          <w:lang w:val="en-US" w:eastAsia="zh-CN"/>
        </w:rPr>
      </w:pPr>
      <w:r>
        <w:rPr>
          <w:rFonts w:hint="eastAsia" w:eastAsia="宋体"/>
          <w:b/>
          <w:sz w:val="20"/>
          <w:szCs w:val="20"/>
          <w:lang w:val="en-US" w:eastAsia="zh-CN"/>
        </w:rPr>
        <w:t>AWGN, TDL-D and TDL-A channel when MCS21(256QAM)/MCS23(64QAM) are selected</w:t>
      </w:r>
    </w:p>
    <w:p>
      <w:pPr>
        <w:numPr>
          <w:ilvl w:val="0"/>
          <w:numId w:val="6"/>
        </w:numPr>
        <w:spacing w:after="120" w:line="240" w:lineRule="auto"/>
        <w:ind w:left="840" w:hanging="420"/>
        <w:rPr>
          <w:rFonts w:hint="eastAsia" w:eastAsia="宋体"/>
          <w:b/>
          <w:sz w:val="20"/>
          <w:szCs w:val="20"/>
          <w:lang w:val="en-US" w:eastAsia="zh-CN"/>
        </w:rPr>
      </w:pPr>
      <w:r>
        <w:rPr>
          <w:rFonts w:hint="eastAsia" w:eastAsia="宋体"/>
          <w:b/>
          <w:sz w:val="20"/>
          <w:szCs w:val="20"/>
          <w:lang w:val="en-US" w:eastAsia="zh-CN"/>
        </w:rPr>
        <w:t>AWGN, TDL-D and TDL-A channel when MCS22(256QAM)/MCS24(64QAM) are selected</w:t>
      </w:r>
    </w:p>
    <w:p>
      <w:pPr>
        <w:numPr>
          <w:ilvl w:val="-1"/>
          <w:numId w:val="0"/>
        </w:numPr>
        <w:spacing w:after="0" w:line="240" w:lineRule="auto"/>
        <w:ind w:left="0" w:firstLine="0"/>
        <w:rPr>
          <w:rFonts w:hint="eastAsia" w:eastAsia="宋体"/>
          <w:b/>
          <w:sz w:val="20"/>
          <w:szCs w:val="20"/>
          <w:lang w:val="en-US" w:eastAsia="zh-CN"/>
        </w:rPr>
      </w:pPr>
      <w:r>
        <w:rPr>
          <w:rFonts w:hint="eastAsia" w:ascii="Times New Roman" w:hAnsi="Times New Roman" w:eastAsia="宋体"/>
          <w:b/>
          <w:sz w:val="20"/>
          <w:szCs w:val="20"/>
          <w:lang w:val="en-US" w:eastAsia="zh-CN"/>
        </w:rPr>
        <w:t>Observation</w:t>
      </w:r>
      <w:r>
        <w:rPr>
          <w:rFonts w:hint="eastAsia" w:ascii="Times New Roman" w:hAnsi="Times New Roman"/>
          <w:b/>
          <w:sz w:val="20"/>
          <w:szCs w:val="20"/>
        </w:rPr>
        <w:t xml:space="preserve"> </w:t>
      </w:r>
      <w:r>
        <w:rPr>
          <w:rFonts w:hint="eastAsia" w:eastAsia="宋体"/>
          <w:b/>
          <w:sz w:val="20"/>
          <w:szCs w:val="20"/>
          <w:lang w:val="en-US" w:eastAsia="zh-CN"/>
        </w:rPr>
        <w:t>2</w:t>
      </w:r>
      <w:r>
        <w:rPr>
          <w:rFonts w:hint="eastAsia" w:ascii="Times New Roman" w:hAnsi="Times New Roman"/>
          <w:b/>
          <w:sz w:val="20"/>
          <w:szCs w:val="20"/>
        </w:rPr>
        <w:t>:</w:t>
      </w:r>
      <w:r>
        <w:rPr>
          <w:rFonts w:hint="eastAsia" w:eastAsia="宋体"/>
          <w:b/>
          <w:sz w:val="20"/>
          <w:szCs w:val="20"/>
          <w:lang w:val="en-US" w:eastAsia="zh-CN"/>
        </w:rPr>
        <w:t xml:space="preserve"> UL 256QAM performance gain can not be expected for 48GHz</w:t>
      </w:r>
    </w:p>
    <w:p>
      <w:pPr>
        <w:jc w:val="both"/>
        <w:rPr>
          <w:rFonts w:hint="eastAsia" w:eastAsia="宋体" w:cs="Times New Roman"/>
          <w:b/>
          <w:kern w:val="0"/>
          <w:szCs w:val="20"/>
          <w:lang w:val="en-US" w:eastAsia="zh-CN"/>
        </w:rPr>
      </w:pPr>
      <w:r>
        <w:rPr>
          <w:rFonts w:hint="eastAsia" w:eastAsia="宋体"/>
          <w:b/>
          <w:kern w:val="0"/>
          <w:sz w:val="20"/>
          <w:szCs w:val="20"/>
          <w:lang w:val="en-US" w:eastAsia="zh-CN"/>
        </w:rPr>
        <w:t>Proposal 1</w:t>
      </w:r>
      <w:r>
        <w:rPr>
          <w:rFonts w:hint="eastAsia" w:ascii="Times New Roman" w:hAnsi="Times New Roman" w:eastAsia="宋体" w:cs="Times New Roman"/>
          <w:b/>
          <w:kern w:val="0"/>
          <w:szCs w:val="20"/>
          <w:lang w:val="en-US" w:eastAsia="zh-CN"/>
        </w:rPr>
        <w:t>:</w:t>
      </w:r>
      <w:r>
        <w:rPr>
          <w:rFonts w:hint="eastAsia" w:eastAsia="宋体" w:cs="Times New Roman"/>
          <w:b/>
          <w:kern w:val="0"/>
          <w:szCs w:val="20"/>
          <w:lang w:val="en-US" w:eastAsia="zh-CN"/>
        </w:rPr>
        <w:t xml:space="preserve"> To add Min peak EIRP in t</w:t>
      </w:r>
      <w:r>
        <w:rPr>
          <w:rFonts w:hint="eastAsia" w:ascii="Times New Roman" w:hAnsi="Times New Roman" w:eastAsia="宋体" w:cs="Times New Roman"/>
          <w:b/>
          <w:kern w:val="0"/>
          <w:szCs w:val="20"/>
          <w:lang w:val="en-US" w:eastAsia="zh-CN"/>
        </w:rPr>
        <w:t xml:space="preserve">he </w:t>
      </w:r>
      <w:r>
        <w:rPr>
          <w:rFonts w:hint="eastAsia" w:eastAsia="宋体" w:cs="Times New Roman"/>
          <w:b/>
          <w:kern w:val="0"/>
          <w:szCs w:val="20"/>
          <w:lang w:val="en-US" w:eastAsia="zh-CN"/>
        </w:rPr>
        <w:t xml:space="preserve">system level </w:t>
      </w:r>
      <w:r>
        <w:rPr>
          <w:rFonts w:hint="eastAsia" w:ascii="Times New Roman" w:hAnsi="Times New Roman" w:eastAsia="宋体" w:cs="Times New Roman"/>
          <w:b/>
          <w:kern w:val="0"/>
          <w:szCs w:val="20"/>
          <w:lang w:val="en-US" w:eastAsia="zh-CN"/>
        </w:rPr>
        <w:t xml:space="preserve">simulation </w:t>
      </w:r>
      <w:r>
        <w:rPr>
          <w:rFonts w:hint="eastAsia" w:eastAsia="宋体" w:cs="Times New Roman"/>
          <w:b/>
          <w:kern w:val="0"/>
          <w:szCs w:val="20"/>
          <w:lang w:val="en-US" w:eastAsia="zh-CN"/>
        </w:rPr>
        <w:t>assumption.</w:t>
      </w:r>
    </w:p>
    <w:tbl>
      <w:tblPr>
        <w:tblStyle w:val="17"/>
        <w:tblW w:w="9950" w:type="dxa"/>
        <w:jc w:val="center"/>
        <w:tblLayout w:type="autofit"/>
        <w:tblCellMar>
          <w:top w:w="0" w:type="dxa"/>
          <w:left w:w="0" w:type="dxa"/>
          <w:bottom w:w="0" w:type="dxa"/>
          <w:right w:w="0" w:type="dxa"/>
        </w:tblCellMar>
      </w:tblPr>
      <w:tblGrid>
        <w:gridCol w:w="4103"/>
        <w:gridCol w:w="5847"/>
      </w:tblGrid>
      <w:tr>
        <w:tblPrEx>
          <w:tblCellMar>
            <w:top w:w="0" w:type="dxa"/>
            <w:left w:w="0" w:type="dxa"/>
            <w:bottom w:w="0" w:type="dxa"/>
            <w:right w:w="0" w:type="dxa"/>
          </w:tblCellMar>
        </w:tblPrEx>
        <w:trPr>
          <w:trHeight w:val="256" w:hRule="atLeast"/>
          <w:jc w:val="center"/>
        </w:trPr>
        <w:tc>
          <w:tcPr>
            <w:tcW w:w="4103"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jc w:val="center"/>
              <w:rPr>
                <w:rFonts w:hint="default" w:ascii="Times New Roman" w:hAnsi="Times New Roman" w:eastAsia="宋体" w:cs="Times New Roman"/>
                <w:b/>
                <w:bCs/>
                <w:kern w:val="24"/>
                <w:lang w:val="en-US" w:eastAsia="zh-CN"/>
              </w:rPr>
            </w:pPr>
            <w:r>
              <w:rPr>
                <w:rFonts w:hint="eastAsia" w:eastAsia="宋体" w:cs="Times New Roman"/>
                <w:b/>
                <w:bCs/>
                <w:kern w:val="24"/>
                <w:lang w:val="en-US" w:eastAsia="zh-CN"/>
              </w:rPr>
              <w:t>UE Min peak EIRP</w:t>
            </w:r>
          </w:p>
        </w:tc>
        <w:tc>
          <w:tcPr>
            <w:tcW w:w="5847" w:type="dxa"/>
            <w:tcBorders>
              <w:top w:val="single" w:color="000000" w:sz="8" w:space="0"/>
              <w:left w:val="single" w:color="000000" w:sz="8" w:space="0"/>
              <w:bottom w:val="single" w:color="000000" w:sz="8" w:space="0"/>
              <w:right w:val="single" w:color="000000" w:sz="8" w:space="0"/>
            </w:tcBorders>
            <w:noWrap w:val="0"/>
            <w:tcMar>
              <w:top w:w="15" w:type="dxa"/>
              <w:left w:w="108" w:type="dxa"/>
              <w:bottom w:w="0" w:type="dxa"/>
              <w:right w:w="108" w:type="dxa"/>
            </w:tcMar>
            <w:vAlign w:val="center"/>
          </w:tcPr>
          <w:p>
            <w:pPr>
              <w:adjustRightInd w:val="0"/>
              <w:snapToGrid w:val="0"/>
              <w:spacing w:after="0" w:line="240" w:lineRule="auto"/>
              <w:rPr>
                <w:rFonts w:hint="default" w:eastAsia="宋体"/>
                <w:b/>
                <w:bCs/>
                <w:lang w:val="en-US" w:eastAsia="zh-CN"/>
              </w:rPr>
            </w:pPr>
            <w:r>
              <w:rPr>
                <w:rFonts w:hint="eastAsia" w:eastAsia="宋体" w:cs="Times New Roman"/>
                <w:b/>
                <w:bCs/>
                <w:color w:val="auto"/>
                <w:kern w:val="24"/>
                <w:highlight w:val="none"/>
                <w:lang w:val="en-US" w:eastAsia="zh-CN"/>
              </w:rPr>
              <w:t>n257 PC1:</w:t>
            </w:r>
            <w:r>
              <w:rPr>
                <w:b/>
                <w:bCs/>
              </w:rPr>
              <w:t>40.0</w:t>
            </w:r>
            <w:r>
              <w:rPr>
                <w:rFonts w:hint="eastAsia" w:eastAsia="宋体"/>
                <w:b/>
                <w:bCs/>
                <w:lang w:val="en-US" w:eastAsia="zh-CN"/>
              </w:rPr>
              <w:t xml:space="preserve"> dBm/PC2:29 dBm/PC3:</w:t>
            </w:r>
            <w:r>
              <w:rPr>
                <w:b/>
                <w:bCs/>
              </w:rPr>
              <w:t>22.4</w:t>
            </w:r>
            <w:r>
              <w:rPr>
                <w:rFonts w:hint="eastAsia" w:eastAsia="宋体"/>
                <w:b/>
                <w:bCs/>
                <w:lang w:val="en-US" w:eastAsia="zh-CN"/>
              </w:rPr>
              <w:t xml:space="preserve"> </w:t>
            </w:r>
            <w:r>
              <w:rPr>
                <w:rFonts w:hint="eastAsia" w:eastAsia="宋体" w:cs="Times New Roman"/>
                <w:b/>
                <w:bCs/>
                <w:kern w:val="24"/>
                <w:lang w:val="en-US" w:eastAsia="zh-CN"/>
              </w:rPr>
              <w:t>dBm</w:t>
            </w:r>
            <w:r>
              <w:rPr>
                <w:rFonts w:hint="eastAsia" w:eastAsia="宋体"/>
                <w:b/>
                <w:bCs/>
                <w:lang w:val="en-US" w:eastAsia="zh-CN"/>
              </w:rPr>
              <w:t>/PC5: 30dBm</w:t>
            </w:r>
          </w:p>
          <w:p>
            <w:pPr>
              <w:adjustRightInd w:val="0"/>
              <w:snapToGrid w:val="0"/>
              <w:spacing w:after="0" w:line="240" w:lineRule="auto"/>
              <w:rPr>
                <w:rFonts w:hint="default" w:eastAsia="宋体"/>
                <w:b/>
                <w:bCs/>
                <w:lang w:val="en-US" w:eastAsia="zh-CN"/>
              </w:rPr>
            </w:pPr>
            <w:r>
              <w:rPr>
                <w:rFonts w:hint="eastAsia" w:eastAsia="宋体"/>
                <w:b/>
                <w:bCs/>
                <w:lang w:val="en-US" w:eastAsia="zh-CN"/>
              </w:rPr>
              <w:t xml:space="preserve">n260 </w:t>
            </w:r>
            <w:r>
              <w:rPr>
                <w:rFonts w:hint="eastAsia" w:eastAsia="宋体" w:cs="Times New Roman"/>
                <w:b/>
                <w:bCs/>
                <w:color w:val="auto"/>
                <w:kern w:val="24"/>
                <w:highlight w:val="none"/>
                <w:lang w:val="en-US" w:eastAsia="zh-CN"/>
              </w:rPr>
              <w:t>PC1:</w:t>
            </w:r>
            <w:r>
              <w:rPr>
                <w:rFonts w:hint="eastAsia" w:eastAsia="宋体"/>
                <w:b/>
                <w:bCs/>
                <w:lang w:val="en-US" w:eastAsia="zh-CN"/>
              </w:rPr>
              <w:t>38</w:t>
            </w:r>
            <w:r>
              <w:rPr>
                <w:b/>
                <w:bCs/>
              </w:rPr>
              <w:t>.0</w:t>
            </w:r>
            <w:r>
              <w:rPr>
                <w:rFonts w:hint="eastAsia" w:eastAsia="宋体"/>
                <w:b/>
                <w:bCs/>
                <w:lang w:val="en-US" w:eastAsia="zh-CN"/>
              </w:rPr>
              <w:t xml:space="preserve"> dBm/PC3:</w:t>
            </w:r>
            <w:r>
              <w:rPr>
                <w:b/>
                <w:bCs/>
              </w:rPr>
              <w:t>20.6</w:t>
            </w:r>
            <w:r>
              <w:rPr>
                <w:rFonts w:hint="eastAsia" w:eastAsia="宋体"/>
                <w:b/>
                <w:bCs/>
                <w:lang w:val="en-US" w:eastAsia="zh-CN"/>
              </w:rPr>
              <w:t xml:space="preserve"> dBm</w:t>
            </w:r>
          </w:p>
        </w:tc>
      </w:tr>
    </w:tbl>
    <w:p>
      <w:pPr>
        <w:spacing w:after="120" w:line="240" w:lineRule="auto"/>
        <w:jc w:val="left"/>
        <w:rPr>
          <w:rFonts w:hint="eastAsia" w:ascii="Times New Roman" w:hAnsi="Times New Roman" w:eastAsia="宋体" w:cs="Times New Roman"/>
          <w:b/>
          <w:kern w:val="0"/>
          <w:szCs w:val="20"/>
          <w:lang w:val="en-US" w:eastAsia="zh-CN"/>
        </w:rPr>
      </w:pPr>
    </w:p>
    <w:p>
      <w:pPr>
        <w:adjustRightInd/>
        <w:snapToGrid/>
        <w:spacing w:after="120" w:line="240" w:lineRule="auto"/>
        <w:jc w:val="left"/>
        <w:rPr>
          <w:bCs/>
          <w:szCs w:val="20"/>
          <w:lang w:eastAsia="zh-CN"/>
        </w:rPr>
      </w:pPr>
      <w:r>
        <w:rPr>
          <w:rFonts w:hint="eastAsia" w:ascii="Times New Roman" w:hAnsi="Times New Roman" w:eastAsia="宋体" w:cs="Times New Roman"/>
          <w:b/>
          <w:kern w:val="0"/>
          <w:szCs w:val="20"/>
          <w:lang w:val="en-US" w:eastAsia="zh-CN"/>
        </w:rPr>
        <w:t xml:space="preserve">Observation </w:t>
      </w:r>
      <w:r>
        <w:rPr>
          <w:rFonts w:hint="eastAsia" w:eastAsia="宋体" w:cs="Times New Roman"/>
          <w:b/>
          <w:kern w:val="0"/>
          <w:szCs w:val="20"/>
          <w:lang w:val="en-US" w:eastAsia="zh-CN"/>
        </w:rPr>
        <w:t>3</w:t>
      </w:r>
      <w:r>
        <w:rPr>
          <w:rFonts w:hint="eastAsia" w:ascii="Times New Roman" w:hAnsi="Times New Roman" w:eastAsia="宋体" w:cs="Times New Roman"/>
          <w:b/>
          <w:kern w:val="0"/>
          <w:szCs w:val="20"/>
          <w:lang w:val="en-US" w:eastAsia="zh-CN"/>
        </w:rPr>
        <w:t>: PC1</w:t>
      </w:r>
      <w:r>
        <w:rPr>
          <w:rFonts w:hint="eastAsia" w:eastAsia="宋体" w:cs="Times New Roman"/>
          <w:b/>
          <w:kern w:val="0"/>
          <w:szCs w:val="20"/>
          <w:lang w:val="en-US" w:eastAsia="zh-CN"/>
        </w:rPr>
        <w:t>,</w:t>
      </w:r>
      <w:r>
        <w:rPr>
          <w:rFonts w:hint="eastAsia" w:ascii="Times New Roman" w:hAnsi="Times New Roman" w:eastAsia="宋体" w:cs="Times New Roman"/>
          <w:b/>
          <w:kern w:val="0"/>
          <w:szCs w:val="20"/>
          <w:lang w:val="en-US" w:eastAsia="zh-CN"/>
        </w:rPr>
        <w:t xml:space="preserve"> PC2</w:t>
      </w:r>
      <w:r>
        <w:rPr>
          <w:rFonts w:hint="eastAsia" w:eastAsia="宋体" w:cs="Times New Roman"/>
          <w:b/>
          <w:kern w:val="0"/>
          <w:szCs w:val="20"/>
          <w:lang w:val="en-US" w:eastAsia="zh-CN"/>
        </w:rPr>
        <w:t>,</w:t>
      </w:r>
      <w:r>
        <w:rPr>
          <w:rFonts w:hint="eastAsia" w:ascii="Times New Roman" w:hAnsi="Times New Roman" w:eastAsia="宋体" w:cs="Times New Roman"/>
          <w:b/>
          <w:kern w:val="0"/>
          <w:szCs w:val="20"/>
          <w:lang w:val="en-US" w:eastAsia="zh-CN"/>
        </w:rPr>
        <w:t xml:space="preserve"> PC</w:t>
      </w:r>
      <w:r>
        <w:rPr>
          <w:rFonts w:hint="eastAsia" w:eastAsia="宋体" w:cs="Times New Roman"/>
          <w:b/>
          <w:kern w:val="0"/>
          <w:szCs w:val="20"/>
          <w:lang w:val="en-US" w:eastAsia="zh-CN"/>
        </w:rPr>
        <w:t xml:space="preserve">3 and </w:t>
      </w:r>
      <w:r>
        <w:rPr>
          <w:rFonts w:hint="eastAsia" w:ascii="Times New Roman" w:hAnsi="Times New Roman" w:eastAsia="宋体" w:cs="Times New Roman"/>
          <w:b/>
          <w:kern w:val="0"/>
          <w:szCs w:val="20"/>
          <w:lang w:val="en-US" w:eastAsia="zh-CN"/>
        </w:rPr>
        <w:t>PC5 are feasible for UL 256QAM for 29GHz</w:t>
      </w:r>
      <w:r>
        <w:rPr>
          <w:rFonts w:hint="eastAsia" w:eastAsia="宋体" w:cs="Times New Roman"/>
          <w:b/>
          <w:kern w:val="0"/>
          <w:szCs w:val="20"/>
          <w:lang w:val="en-US" w:eastAsia="zh-CN"/>
        </w:rPr>
        <w:t xml:space="preserve"> if the operating SNR is not higher than 28dB</w:t>
      </w:r>
      <w:r>
        <w:rPr>
          <w:rFonts w:hint="eastAsia" w:ascii="Times New Roman" w:hAnsi="Times New Roman" w:eastAsia="宋体" w:cs="Times New Roman"/>
          <w:b/>
          <w:kern w:val="0"/>
          <w:szCs w:val="20"/>
          <w:lang w:val="en-US" w:eastAsia="zh-CN"/>
        </w:rPr>
        <w:t>.</w:t>
      </w:r>
      <w:r>
        <w:rPr>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rFonts w:hint="eastAsia"/>
          <w:sz w:val="20"/>
          <w:szCs w:val="20"/>
          <w:lang w:val="en-US"/>
        </w:rPr>
      </w:pPr>
      <w:bookmarkStart w:id="10" w:name="OLE_LINK1"/>
      <w:r>
        <w:rPr>
          <w:rFonts w:hint="eastAsia"/>
          <w:sz w:val="20"/>
          <w:szCs w:val="20"/>
          <w:lang w:val="en-US"/>
        </w:rPr>
        <w:t>RP-221862</w:t>
      </w:r>
      <w:bookmarkEnd w:id="10"/>
      <w:r>
        <w:rPr>
          <w:rFonts w:hint="eastAsia"/>
          <w:sz w:val="20"/>
          <w:szCs w:val="20"/>
          <w:lang w:val="en-US"/>
        </w:rPr>
        <w:t xml:space="preserve"> revised WID NR RF requirements enhancement for frequency range 2 (FR2), Phase 3.docx</w:t>
      </w:r>
    </w:p>
    <w:p>
      <w:pPr>
        <w:pStyle w:val="9"/>
        <w:rPr>
          <w:rFonts w:hint="eastAsia"/>
          <w:sz w:val="20"/>
          <w:szCs w:val="20"/>
          <w:lang w:val="en-US"/>
        </w:rPr>
      </w:pPr>
      <w:r>
        <w:rPr>
          <w:rFonts w:hint="eastAsia"/>
          <w:sz w:val="20"/>
          <w:szCs w:val="20"/>
          <w:lang w:val="en-US"/>
        </w:rPr>
        <w:t>R4-2217729</w:t>
      </w:r>
      <w:r>
        <w:rPr>
          <w:rFonts w:hint="eastAsia"/>
          <w:sz w:val="20"/>
          <w:szCs w:val="20"/>
          <w:lang w:val="en-US" w:eastAsia="zh-CN"/>
        </w:rPr>
        <w:t xml:space="preserve"> WF on UL 256QAM</w:t>
      </w:r>
    </w:p>
    <w:p>
      <w:pPr>
        <w:pStyle w:val="9"/>
        <w:rPr>
          <w:rFonts w:hint="eastAsia"/>
          <w:sz w:val="20"/>
          <w:szCs w:val="20"/>
          <w:lang w:val="en-US"/>
        </w:rPr>
      </w:pPr>
      <w:r>
        <w:rPr>
          <w:rFonts w:hint="eastAsia"/>
          <w:sz w:val="20"/>
          <w:szCs w:val="20"/>
          <w:lang w:val="en-US" w:eastAsia="zh-CN"/>
        </w:rPr>
        <w:t>TS</w:t>
      </w:r>
      <w:r>
        <w:rPr>
          <w:rFonts w:hint="eastAsia"/>
          <w:sz w:val="20"/>
          <w:szCs w:val="20"/>
          <w:lang w:val="en-US"/>
        </w:rPr>
        <w:t>38101-2-h70</w:t>
      </w:r>
    </w:p>
    <w:p>
      <w:pPr>
        <w:pStyle w:val="9"/>
        <w:rPr>
          <w:rFonts w:hint="default"/>
          <w:sz w:val="20"/>
          <w:szCs w:val="20"/>
          <w:lang w:val="en-US" w:eastAsia="zh-CN"/>
        </w:rPr>
      </w:pPr>
      <w:r>
        <w:rPr>
          <w:rFonts w:hint="eastAsia"/>
          <w:sz w:val="20"/>
          <w:szCs w:val="20"/>
          <w:lang w:val="en-US"/>
        </w:rPr>
        <w:t>38803-e30</w:t>
      </w:r>
    </w:p>
    <w:p>
      <w:pPr>
        <w:pStyle w:val="9"/>
        <w:rPr>
          <w:rFonts w:hint="default"/>
          <w:sz w:val="20"/>
          <w:szCs w:val="20"/>
          <w:lang w:val="en-US" w:eastAsia="zh-CN"/>
        </w:rPr>
      </w:pPr>
      <w:r>
        <w:rPr>
          <w:rFonts w:hint="eastAsia"/>
          <w:sz w:val="20"/>
          <w:szCs w:val="20"/>
          <w:lang w:val="en-US"/>
        </w:rPr>
        <w:t>R4-165500</w:t>
      </w:r>
      <w:r>
        <w:rPr>
          <w:rFonts w:hint="eastAsia"/>
          <w:sz w:val="20"/>
          <w:szCs w:val="20"/>
          <w:lang w:val="en-US" w:eastAsia="zh-CN"/>
        </w:rPr>
        <w:t xml:space="preserve">, </w:t>
      </w:r>
      <w:r>
        <w:rPr>
          <w:rFonts w:hint="eastAsia"/>
          <w:sz w:val="20"/>
          <w:szCs w:val="20"/>
          <w:lang w:val="en-US"/>
        </w:rPr>
        <w:t>Discussion on the uplink power control of NR</w:t>
      </w:r>
      <w:r>
        <w:rPr>
          <w:rFonts w:hint="eastAsia"/>
          <w:sz w:val="20"/>
          <w:szCs w:val="20"/>
          <w:lang w:val="en-US" w:eastAsia="zh-CN"/>
        </w:rPr>
        <w:t>, ZTE</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Annex</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eastAsia="宋体"/>
          <w:lang w:val="en-US" w:eastAsia="zh-CN"/>
        </w:rPr>
      </w:pPr>
      <w:r>
        <w:rPr>
          <w:rFonts w:hint="eastAsia" w:eastAsia="宋体"/>
          <w:lang w:val="en-US" w:eastAsia="zh-CN"/>
        </w:rPr>
        <w:t>Table A.1 simulation assumption for FR2 UL 256QAM</w:t>
      </w:r>
    </w:p>
    <w:tbl>
      <w:tblPr>
        <w:tblStyle w:val="18"/>
        <w:tblW w:w="10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7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6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b/>
                <w:bCs/>
                <w:color w:val="000000"/>
                <w:kern w:val="24"/>
                <w:sz w:val="16"/>
                <w:szCs w:val="16"/>
                <w:lang w:val="fi-FI" w:eastAsia="zh-CN"/>
              </w:rPr>
              <w:t>Parameter</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6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b/>
                <w:bCs/>
                <w:color w:val="000000"/>
                <w:kern w:val="24"/>
                <w:sz w:val="16"/>
                <w:szCs w:val="16"/>
                <w:lang w:val="fi-FI" w:eastAsia="zh-CN"/>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Arial Unicode MS" w:cs="Arial"/>
                <w:color w:val="000000"/>
                <w:kern w:val="24"/>
                <w:sz w:val="16"/>
                <w:szCs w:val="16"/>
                <w:lang w:val="en-US" w:eastAsia="zh-CN" w:bidi="ar-SA"/>
              </w:rPr>
            </w:pPr>
            <w:r>
              <w:rPr>
                <w:rFonts w:ascii="Arial" w:hAnsi="Arial" w:eastAsia="Arial Unicode MS" w:cs="Arial"/>
                <w:color w:val="000000"/>
                <w:kern w:val="24"/>
                <w:sz w:val="16"/>
                <w:szCs w:val="16"/>
                <w:lang w:eastAsia="zh-CN"/>
              </w:rPr>
              <w:t>Carrier frequency</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Arial Unicode MS" w:cs="Arial"/>
                <w:color w:val="000000"/>
                <w:kern w:val="24"/>
                <w:sz w:val="16"/>
                <w:szCs w:val="16"/>
                <w:lang w:val="en-US" w:eastAsia="zh-CN" w:bidi="ar-SA"/>
              </w:rPr>
            </w:pPr>
            <w:r>
              <w:rPr>
                <w:rFonts w:ascii="Arial" w:hAnsi="Arial" w:eastAsia="Arial Unicode MS" w:cs="Arial"/>
                <w:color w:val="auto"/>
                <w:kern w:val="24"/>
                <w:sz w:val="16"/>
                <w:szCs w:val="16"/>
                <w:lang w:eastAsia="zh-CN"/>
              </w:rPr>
              <w:t xml:space="preserve">29 GHz (n257), 39 GHz </w:t>
            </w:r>
            <w:r>
              <w:rPr>
                <w:rFonts w:ascii="Arial" w:hAnsi="Arial" w:eastAsia="Arial Unicode MS" w:cs="Arial"/>
                <w:color w:val="000000"/>
                <w:kern w:val="24"/>
                <w:sz w:val="16"/>
                <w:szCs w:val="16"/>
                <w:lang w:eastAsia="zh-CN"/>
              </w:rPr>
              <w:t>(n260) and 48GHz (n262)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CBW</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 xml:space="preserve">50 MHz, </w:t>
            </w:r>
            <w:r>
              <w:rPr>
                <w:rFonts w:ascii="Arial" w:hAnsi="Arial" w:eastAsia="Arial Unicode MS" w:cs="Arial"/>
                <w:color w:val="FF0000"/>
                <w:kern w:val="24"/>
                <w:sz w:val="16"/>
                <w:szCs w:val="16"/>
                <w:lang w:eastAsia="zh-CN"/>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SCS</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Allocated RBs</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val="en-US" w:eastAsia="zh-CN"/>
              </w:rPr>
              <w:t>Full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Propagation</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eastAsia="Arial Unicode MS" w:cs="Arial"/>
                <w:color w:val="000000"/>
                <w:kern w:val="24"/>
                <w:sz w:val="16"/>
                <w:szCs w:val="16"/>
                <w:lang w:eastAsia="zh-CN"/>
              </w:rPr>
            </w:pPr>
            <w:r>
              <w:rPr>
                <w:rFonts w:ascii="Arial" w:hAnsi="Arial" w:eastAsia="Arial Unicode MS" w:cs="Arial"/>
                <w:color w:val="000000"/>
                <w:kern w:val="24"/>
                <w:sz w:val="16"/>
                <w:szCs w:val="16"/>
                <w:lang w:eastAsia="zh-CN"/>
              </w:rPr>
              <w:t>TDL-A  30ns delay spread, 35Hz Doppler frequency</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eastAsia="Arial Unicode MS" w:cs="Arial"/>
                <w:color w:val="000000"/>
                <w:kern w:val="24"/>
                <w:sz w:val="16"/>
                <w:szCs w:val="16"/>
                <w:lang w:eastAsia="zh-CN"/>
              </w:rPr>
            </w:pPr>
            <w:r>
              <w:rPr>
                <w:rFonts w:ascii="Arial" w:hAnsi="Arial" w:eastAsia="Arial Unicode MS" w:cs="Arial"/>
                <w:color w:val="000000"/>
                <w:kern w:val="24"/>
                <w:sz w:val="16"/>
                <w:szCs w:val="16"/>
                <w:lang w:eastAsia="zh-CN"/>
              </w:rPr>
              <w:t>TDL-D 30ns delay spread, 35Hz Doppler frequency</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Arial Unicode MS" w:cs="Arial"/>
                <w:color w:val="000000"/>
                <w:kern w:val="24"/>
                <w:sz w:val="16"/>
                <w:szCs w:val="16"/>
                <w:lang w:val="en-US" w:eastAsia="zh-CN" w:bidi="ar-SA"/>
              </w:rPr>
            </w:pPr>
            <w:r>
              <w:rPr>
                <w:rFonts w:ascii="Arial" w:hAnsi="Arial" w:eastAsia="Arial Unicode MS" w:cs="Arial"/>
                <w:color w:val="000000"/>
                <w:kern w:val="24"/>
                <w:sz w:val="16"/>
                <w:szCs w:val="16"/>
                <w:lang w:eastAsia="zh-CN"/>
              </w:rPr>
              <w:t>Static (</w:t>
            </w:r>
            <w:r>
              <w:rPr>
                <w:rFonts w:ascii="Arial" w:hAnsi="Arial" w:eastAsia="Arial Unicode MS" w:cs="Arial"/>
                <w:color w:val="auto"/>
                <w:kern w:val="24"/>
                <w:sz w:val="16"/>
                <w:szCs w:val="16"/>
                <w:lang w:eastAsia="zh-CN"/>
              </w:rPr>
              <w:t>AWGN</w:t>
            </w:r>
            <w:r>
              <w:rPr>
                <w:rFonts w:ascii="Arial" w:hAnsi="Arial" w:eastAsia="Arial Unicode MS" w:cs="Arial"/>
                <w:color w:val="000000"/>
                <w:kern w:val="24"/>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MCS</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cs="Arial"/>
                <w:color w:val="000000"/>
                <w:kern w:val="2"/>
                <w:sz w:val="16"/>
                <w:szCs w:val="16"/>
                <w:lang w:val="en-US" w:eastAsia="zh-CN"/>
              </w:rPr>
            </w:pPr>
            <w:r>
              <w:rPr>
                <w:rFonts w:ascii="Arial" w:hAnsi="Arial" w:cs="Arial"/>
                <w:color w:val="000000"/>
                <w:kern w:val="2"/>
                <w:sz w:val="16"/>
                <w:szCs w:val="16"/>
                <w:lang w:val="en-US" w:eastAsia="zh-CN"/>
              </w:rPr>
              <w:t xml:space="preserve">64QAM: </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cs="Arial"/>
                <w:color w:val="auto"/>
                <w:kern w:val="2"/>
                <w:sz w:val="16"/>
                <w:szCs w:val="16"/>
                <w:lang w:val="en-US" w:eastAsia="zh-CN"/>
              </w:rPr>
            </w:pPr>
            <w:r>
              <w:rPr>
                <w:rFonts w:ascii="Arial" w:hAnsi="Arial" w:cs="Arial"/>
                <w:color w:val="FF0000"/>
                <w:kern w:val="2"/>
                <w:sz w:val="16"/>
                <w:szCs w:val="16"/>
                <w:lang w:val="en-US" w:eastAsia="zh-CN"/>
              </w:rPr>
              <w:t>CP-OFDM</w:t>
            </w:r>
            <w:r>
              <w:rPr>
                <w:rFonts w:ascii="Arial" w:hAnsi="Arial" w:cs="Arial"/>
                <w:color w:val="auto"/>
                <w:kern w:val="2"/>
                <w:sz w:val="16"/>
                <w:szCs w:val="16"/>
                <w:lang w:val="en-US" w:eastAsia="zh-CN"/>
              </w:rPr>
              <w:t xml:space="preserve">: MCS 23, </w:t>
            </w:r>
            <w:r>
              <w:rPr>
                <w:rFonts w:ascii="Arial" w:hAnsi="Arial" w:cs="Arial"/>
                <w:color w:val="FF0000"/>
                <w:kern w:val="2"/>
                <w:sz w:val="16"/>
                <w:szCs w:val="16"/>
                <w:lang w:val="en-US" w:eastAsia="zh-CN"/>
              </w:rPr>
              <w:t xml:space="preserve">24 </w:t>
            </w:r>
            <w:r>
              <w:rPr>
                <w:rFonts w:ascii="Arial" w:hAnsi="Arial" w:cs="Arial"/>
                <w:color w:val="auto"/>
                <w:kern w:val="2"/>
                <w:sz w:val="16"/>
                <w:szCs w:val="16"/>
                <w:lang w:val="en-US" w:eastAsia="zh-CN"/>
              </w:rPr>
              <w:t>in TS 38.214 Table 5.1.3.1</w:t>
            </w:r>
            <w:r>
              <w:rPr>
                <w:rFonts w:ascii="Arial" w:hAnsi="Arial" w:cs="Arial"/>
                <w:color w:val="auto"/>
                <w:kern w:val="2"/>
                <w:sz w:val="16"/>
                <w:szCs w:val="16"/>
                <w:highlight w:val="none"/>
                <w:lang w:val="en-US" w:eastAsia="zh-CN"/>
              </w:rPr>
              <w:t>-1</w:t>
            </w:r>
            <w:r>
              <w:rPr>
                <w:rFonts w:ascii="Arial" w:hAnsi="Arial" w:cs="Arial"/>
                <w:color w:val="auto"/>
                <w:kern w:val="2"/>
                <w:sz w:val="16"/>
                <w:szCs w:val="16"/>
                <w:lang w:val="en-US" w:eastAsia="zh-CN"/>
              </w:rPr>
              <w:t>, other MCSs are not precluded.</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eastAsia" w:ascii="Arial" w:hAnsi="Arial" w:eastAsia="等线" w:cs="Arial"/>
                <w:color w:val="auto"/>
                <w:sz w:val="16"/>
                <w:szCs w:val="16"/>
                <w:lang w:val="en-US" w:eastAsia="zh-CN"/>
              </w:rPr>
            </w:pPr>
            <w:r>
              <w:rPr>
                <w:rFonts w:ascii="Arial" w:hAnsi="Arial" w:cs="Arial"/>
                <w:b w:val="0"/>
                <w:bCs w:val="0"/>
                <w:color w:val="auto"/>
                <w:kern w:val="2"/>
                <w:sz w:val="16"/>
                <w:szCs w:val="16"/>
                <w:lang w:val="en-US" w:eastAsia="zh-CN"/>
              </w:rPr>
              <w:t>DFT-s-OFDM</w:t>
            </w:r>
            <w:r>
              <w:rPr>
                <w:rFonts w:ascii="Arial" w:hAnsi="Arial" w:cs="Arial"/>
                <w:color w:val="auto"/>
                <w:kern w:val="2"/>
                <w:sz w:val="16"/>
                <w:szCs w:val="16"/>
                <w:lang w:val="en-US" w:eastAsia="zh-CN"/>
              </w:rPr>
              <w:t>: MCS 22, 23 in TS 38.214 Table 6.1.4.1-1, other MCSs are not precluded.</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cs="Arial"/>
                <w:color w:val="auto"/>
                <w:kern w:val="2"/>
                <w:sz w:val="16"/>
                <w:szCs w:val="16"/>
                <w:lang w:val="en-US" w:eastAsia="zh-CN"/>
              </w:rPr>
            </w:pPr>
            <w:r>
              <w:rPr>
                <w:rFonts w:ascii="Arial" w:hAnsi="Arial" w:cs="Arial"/>
                <w:color w:val="auto"/>
                <w:kern w:val="2"/>
                <w:sz w:val="16"/>
                <w:szCs w:val="16"/>
                <w:lang w:val="en-US" w:eastAsia="zh-CN"/>
              </w:rPr>
              <w:t xml:space="preserve">256QAM: </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cs="Arial"/>
                <w:color w:val="auto"/>
                <w:sz w:val="16"/>
                <w:szCs w:val="16"/>
                <w:lang w:val="en-US" w:eastAsia="zh-CN"/>
              </w:rPr>
            </w:pPr>
            <w:r>
              <w:rPr>
                <w:rFonts w:ascii="Arial" w:hAnsi="Arial" w:cs="Arial"/>
                <w:color w:val="FF0000"/>
                <w:kern w:val="2"/>
                <w:sz w:val="16"/>
                <w:szCs w:val="16"/>
                <w:lang w:val="en-US" w:eastAsia="zh-CN"/>
              </w:rPr>
              <w:t>CP-OFDM</w:t>
            </w:r>
            <w:r>
              <w:rPr>
                <w:rFonts w:ascii="Arial" w:hAnsi="Arial" w:cs="Arial"/>
                <w:color w:val="auto"/>
                <w:kern w:val="2"/>
                <w:sz w:val="16"/>
                <w:szCs w:val="16"/>
                <w:lang w:val="en-US" w:eastAsia="zh-CN"/>
              </w:rPr>
              <w:t>/DFT-s-OFDM: MCS 21,</w:t>
            </w:r>
            <w:r>
              <w:rPr>
                <w:rFonts w:hint="eastAsia" w:ascii="Arial" w:hAnsi="Arial" w:cs="Arial"/>
                <w:color w:val="FF0000"/>
                <w:kern w:val="2"/>
                <w:sz w:val="16"/>
                <w:szCs w:val="16"/>
                <w:lang w:val="en-US" w:eastAsia="zh-CN"/>
              </w:rPr>
              <w:t>22</w:t>
            </w:r>
            <w:r>
              <w:rPr>
                <w:rFonts w:hint="eastAsia" w:ascii="Arial" w:hAnsi="Arial" w:cs="Arial"/>
                <w:color w:val="auto"/>
                <w:kern w:val="2"/>
                <w:sz w:val="16"/>
                <w:szCs w:val="16"/>
                <w:lang w:val="en-US" w:eastAsia="zh-CN"/>
              </w:rPr>
              <w:t>,</w:t>
            </w:r>
            <w:r>
              <w:rPr>
                <w:rFonts w:ascii="Arial" w:hAnsi="Arial" w:cs="Arial"/>
                <w:color w:val="auto"/>
                <w:kern w:val="2"/>
                <w:sz w:val="16"/>
                <w:szCs w:val="16"/>
                <w:lang w:val="en-US" w:eastAsia="zh-CN"/>
              </w:rPr>
              <w:t xml:space="preserve"> 23 in TS 38.214 Table 5.1.3.1</w:t>
            </w:r>
            <w:r>
              <w:rPr>
                <w:rFonts w:ascii="Arial" w:hAnsi="Arial" w:cs="Arial"/>
                <w:color w:val="auto"/>
                <w:kern w:val="2"/>
                <w:sz w:val="16"/>
                <w:szCs w:val="16"/>
                <w:highlight w:val="none"/>
                <w:lang w:val="en-US" w:eastAsia="zh-CN"/>
              </w:rPr>
              <w:t>-2</w:t>
            </w:r>
            <w:r>
              <w:rPr>
                <w:rFonts w:ascii="Arial" w:hAnsi="Arial" w:cs="Arial"/>
                <w:color w:val="auto"/>
                <w:kern w:val="2"/>
                <w:sz w:val="16"/>
                <w:szCs w:val="16"/>
                <w:lang w:val="en-US" w:eastAsia="zh-CN"/>
              </w:rPr>
              <w:t>, other MCSs are not precluded.</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cs="Arial"/>
                <w:color w:val="auto"/>
                <w:kern w:val="2"/>
                <w:sz w:val="16"/>
                <w:szCs w:val="16"/>
                <w:lang w:val="fi-FI" w:eastAsia="zh-CN"/>
              </w:rPr>
              <w:t>Baseline: fixed MCSs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 xml:space="preserve">Symbol type </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CP-OFDM; DFT-s-OFDM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 xml:space="preserve">HARQ </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cs="Arial"/>
                <w:color w:val="000000"/>
                <w:kern w:val="2"/>
                <w:sz w:val="16"/>
                <w:szCs w:val="16"/>
                <w:lang w:eastAsia="zh-CN"/>
              </w:rPr>
              <w:t xml:space="preserve">8, </w:t>
            </w:r>
            <w:r>
              <w:rPr>
                <w:rFonts w:ascii="Arial" w:hAnsi="Arial" w:cs="Arial"/>
                <w:color w:val="FF0000"/>
                <w:kern w:val="2"/>
                <w:sz w:val="16"/>
                <w:szCs w:val="16"/>
                <w:lang w:eastAsia="zh-CN"/>
              </w:rPr>
              <w:t xml:space="preserve">None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Antenna configuration</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cs="Arial"/>
                <w:sz w:val="16"/>
                <w:szCs w:val="16"/>
                <w:lang w:val="en-US" w:eastAsia="zh-CN"/>
              </w:rPr>
            </w:pPr>
            <w:r>
              <w:rPr>
                <w:rFonts w:ascii="Arial" w:hAnsi="Arial" w:eastAsia="Arial Unicode MS" w:cs="Arial"/>
                <w:color w:val="000000"/>
                <w:kern w:val="24"/>
                <w:sz w:val="16"/>
                <w:szCs w:val="16"/>
                <w:lang w:eastAsia="zh-CN"/>
              </w:rPr>
              <w:t xml:space="preserve">Fading channel: 2x2 for </w:t>
            </w:r>
            <w:r>
              <w:rPr>
                <w:rFonts w:ascii="Arial" w:hAnsi="Arial" w:eastAsia="Arial Unicode MS" w:cs="Arial"/>
                <w:color w:val="FF0000"/>
                <w:kern w:val="24"/>
                <w:sz w:val="16"/>
                <w:szCs w:val="16"/>
                <w:lang w:eastAsia="zh-CN"/>
              </w:rPr>
              <w:t>Rank1</w:t>
            </w:r>
            <w:r>
              <w:rPr>
                <w:rFonts w:ascii="Arial" w:hAnsi="Arial" w:eastAsia="Arial Unicode MS" w:cs="Arial"/>
                <w:color w:val="000000"/>
                <w:kern w:val="24"/>
                <w:sz w:val="16"/>
                <w:szCs w:val="16"/>
                <w:lang w:eastAsia="zh-CN"/>
              </w:rPr>
              <w:t xml:space="preserve"> and Rank2, Low correlation</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 xml:space="preserve">Static channel: 1x2 for </w:t>
            </w:r>
            <w:r>
              <w:rPr>
                <w:rFonts w:ascii="Arial" w:hAnsi="Arial" w:eastAsia="Arial Unicode MS" w:cs="Arial"/>
                <w:color w:val="FF0000"/>
                <w:kern w:val="24"/>
                <w:sz w:val="16"/>
                <w:szCs w:val="16"/>
                <w:lang w:eastAsia="zh-CN"/>
              </w:rPr>
              <w:t>Rank1</w:t>
            </w:r>
            <w:r>
              <w:rPr>
                <w:rFonts w:ascii="Arial" w:hAnsi="Arial" w:eastAsia="Arial Unicode MS" w:cs="Arial"/>
                <w:color w:val="000000"/>
                <w:kern w:val="24"/>
                <w:sz w:val="16"/>
                <w:szCs w:val="16"/>
                <w:lang w:eastAsia="zh-CN"/>
              </w:rPr>
              <w:t>, 2x2 for Rank2 (using the diagonal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val="fi-FI" w:eastAsia="zh-CN"/>
              </w:rPr>
              <w:t xml:space="preserve">Channel estimation </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val="fi-FI" w:eastAsia="zh-CN"/>
              </w:rPr>
              <w:t xml:space="preserve">Practical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Receiver type</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PUSCH configuration</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 xml:space="preserve">Type A mapping, Start symbol 0, Duration 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DMRS configuration</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Type 1, Single symbol, 1 additional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PTRS configuration</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eastAsia="Arial Unicode MS" w:cs="Arial"/>
                <w:color w:val="000000"/>
                <w:kern w:val="24"/>
                <w:sz w:val="16"/>
                <w:szCs w:val="16"/>
                <w:lang w:eastAsia="zh-CN"/>
              </w:rPr>
            </w:pPr>
            <w:r>
              <w:rPr>
                <w:rFonts w:ascii="Arial" w:hAnsi="Arial" w:eastAsia="Arial Unicode MS" w:cs="Arial"/>
                <w:color w:val="000000"/>
                <w:kern w:val="24"/>
                <w:sz w:val="16"/>
                <w:szCs w:val="16"/>
                <w:lang w:eastAsia="zh-CN"/>
              </w:rPr>
              <w:t>CP-OFDM: KPTRS : 2 (every 2 RBs), LPTRS : 1 (every 1 symbol)</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b w:val="0"/>
                <w:bCs w:val="0"/>
                <w:color w:val="auto"/>
                <w:kern w:val="24"/>
                <w:sz w:val="16"/>
                <w:szCs w:val="16"/>
                <w:lang w:eastAsia="zh-CN"/>
              </w:rPr>
              <w:t>DFT-s-OFDM</w:t>
            </w:r>
            <w:r>
              <w:rPr>
                <w:rFonts w:ascii="Arial" w:hAnsi="Arial" w:eastAsia="Arial Unicode MS" w:cs="Arial"/>
                <w:kern w:val="24"/>
                <w:sz w:val="16"/>
                <w:szCs w:val="16"/>
                <w:lang w:eastAsia="zh-CN"/>
              </w:rPr>
              <w:t xml:space="preserve">: </w:t>
            </w:r>
            <w:r>
              <w:rPr>
                <w:rFonts w:eastAsia="等线"/>
                <w:lang w:val="en-US" w:eastAsia="zh-CN"/>
              </w:rPr>
              <w:t>(</w:t>
            </w:r>
            <w:r>
              <w:rPr>
                <w:rFonts w:eastAsia="等线"/>
                <w:lang w:val="en-US" w:eastAsia="zh-CN"/>
              </w:rPr>
              <w:object>
                <v:shape id="_x0000_i1025" o:spt="75" type="#_x0000_t75" style="height:10.5pt;width:21.75pt;" o:ole="t" filled="f" o:preferrelative="t" stroked="f" coordsize="21600,21600">
                  <v:path/>
                  <v:fill on="f" focussize="0,0"/>
                  <v:stroke on="f"/>
                  <v:imagedata r:id="rId13" o:title=""/>
                  <o:lock v:ext="edit" aspectratio="t"/>
                  <w10:wrap type="none"/>
                  <w10:anchorlock/>
                </v:shape>
                <o:OLEObject Type="Embed" ProgID="Equation.DSMT4" ShapeID="_x0000_i1025" DrawAspect="Content" ObjectID="_1468075725" r:id="rId12">
                  <o:LockedField>false</o:LockedField>
                </o:OLEObject>
              </w:object>
            </w:r>
            <w:r>
              <w:rPr>
                <w:rFonts w:eastAsia="等线"/>
                <w:lang w:val="en-US" w:eastAsia="zh-CN"/>
              </w:rPr>
              <w:t>,</w:t>
            </w:r>
            <w:r>
              <w:rPr>
                <w:rFonts w:eastAsia="等线"/>
                <w:lang w:val="en-US" w:eastAsia="zh-CN"/>
              </w:rPr>
              <w:object>
                <v:shape id="_x0000_i1026" o:spt="75" type="#_x0000_t75" style="height:12pt;width:15pt;" o:ole="t" filled="f" o:preferrelative="t" stroked="f" coordsize="21600,21600">
                  <v:path/>
                  <v:fill on="f" focussize="0,0"/>
                  <v:stroke on="f"/>
                  <v:imagedata r:id="rId15" o:title=""/>
                  <o:lock v:ext="edit" aspectratio="t"/>
                  <w10:wrap type="none"/>
                  <w10:anchorlock/>
                </v:shape>
                <o:OLEObject Type="Embed" ProgID="Equation.3" ShapeID="_x0000_i1026" DrawAspect="Content" ObjectID="_1468075726" r:id="rId14">
                  <o:LockedField>false</o:LockedField>
                </o:OLEObject>
              </w:object>
            </w:r>
            <w:r>
              <w:rPr>
                <w:rFonts w:eastAsia="等线"/>
                <w:lang w:val="en-US" w:eastAsia="zh-CN"/>
              </w:rPr>
              <w:t>)=(4, 4),</w:t>
            </w:r>
            <w:r>
              <w:rPr>
                <w:rFonts w:ascii="Arial" w:hAnsi="Arial" w:eastAsia="Arial Unicode MS" w:cs="Arial"/>
                <w:kern w:val="24"/>
                <w:sz w:val="16"/>
                <w:szCs w:val="16"/>
                <w:lang w:eastAsia="zh-CN"/>
              </w:rPr>
              <w:t xml:space="preserve"> </w:t>
            </w:r>
            <w:r>
              <w:rPr>
                <w:rFonts w:ascii="Arial" w:hAnsi="Arial" w:eastAsia="Arial Unicode MS" w:cs="Arial"/>
                <w:color w:val="000000"/>
                <w:kern w:val="24"/>
                <w:sz w:val="16"/>
                <w:szCs w:val="16"/>
                <w:lang w:eastAsia="zh-CN"/>
              </w:rPr>
              <w:t>LPTRS : 1 (every 1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Phase noise compensation</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val="fi-FI" w:eastAsia="zh-CN"/>
              </w:rPr>
              <w:t>Practical based on PTRS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val="fi-FI" w:eastAsia="zh-CN"/>
              </w:rPr>
              <w:t>Phase noise model</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cs="Arial"/>
                <w:sz w:val="16"/>
                <w:szCs w:val="16"/>
                <w:lang w:val="en-US" w:eastAsia="zh-CN"/>
              </w:rPr>
            </w:pPr>
            <w:r>
              <w:rPr>
                <w:rFonts w:ascii="Arial" w:hAnsi="Arial" w:eastAsia="Arial Unicode MS" w:cs="Arial"/>
                <w:color w:val="000000"/>
                <w:kern w:val="24"/>
                <w:sz w:val="16"/>
                <w:szCs w:val="16"/>
                <w:lang w:eastAsia="zh-CN"/>
              </w:rPr>
              <w:t>TR 38.803 model (in section 6.1.10 and section 6.1.11)</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cs="Arial"/>
                <w:sz w:val="16"/>
                <w:szCs w:val="16"/>
                <w:lang w:val="en-US" w:eastAsia="zh-CN"/>
              </w:rPr>
            </w:pPr>
            <w:r>
              <w:rPr>
                <w:rFonts w:ascii="Arial" w:hAnsi="Arial" w:eastAsia="Arial Unicode MS" w:cs="Arial"/>
                <w:color w:val="000000"/>
                <w:kern w:val="24"/>
                <w:sz w:val="16"/>
                <w:szCs w:val="16"/>
                <w:lang w:eastAsia="zh-CN"/>
              </w:rPr>
              <w:t>modelled Phase noise for TX and RX</w:t>
            </w:r>
          </w:p>
          <w:p>
            <w:pPr>
              <w:keepNext w:val="0"/>
              <w:keepLines w:val="0"/>
              <w:pageBreakBefore w:val="0"/>
              <w:widowControl/>
              <w:kinsoku/>
              <w:wordWrap/>
              <w:overflowPunct/>
              <w:topLinePunct w:val="0"/>
              <w:autoSpaceDE/>
              <w:autoSpaceDN/>
              <w:bidi w:val="0"/>
              <w:adjustRightInd w:val="0"/>
              <w:snapToGrid/>
              <w:spacing w:after="0" w:line="240" w:lineRule="auto"/>
              <w:jc w:val="both"/>
              <w:textAlignment w:val="auto"/>
              <w:rPr>
                <w:rFonts w:ascii="Arial" w:hAnsi="Arial" w:eastAsia="等线" w:cs="Arial"/>
                <w:color w:val="000000"/>
                <w:sz w:val="16"/>
                <w:szCs w:val="16"/>
                <w:lang w:val="en-US" w:eastAsia="zh-CN"/>
              </w:rPr>
            </w:pPr>
            <w:r>
              <w:rPr>
                <w:rFonts w:ascii="Arial" w:hAnsi="Arial" w:eastAsia="等线" w:cs="Arial"/>
                <w:color w:val="000000"/>
                <w:sz w:val="16"/>
                <w:szCs w:val="16"/>
                <w:lang w:val="en-US" w:eastAsia="zh-CN"/>
              </w:rPr>
              <w:t>Option a): example1</w:t>
            </w:r>
            <w:r>
              <w:rPr>
                <w:rFonts w:ascii="Arial" w:hAnsi="Arial" w:eastAsia="Arial Unicode MS" w:cs="Arial"/>
                <w:color w:val="000000"/>
                <w:kern w:val="24"/>
                <w:sz w:val="16"/>
                <w:szCs w:val="16"/>
                <w:lang w:eastAsia="zh-CN"/>
              </w:rPr>
              <w:t xml:space="preserve"> (UE)</w:t>
            </w:r>
            <w:r>
              <w:rPr>
                <w:rFonts w:ascii="Arial" w:hAnsi="Arial" w:eastAsia="等线" w:cs="Arial"/>
                <w:color w:val="000000"/>
                <w:sz w:val="16"/>
                <w:szCs w:val="16"/>
                <w:lang w:val="en-US" w:eastAsia="zh-CN"/>
              </w:rPr>
              <w:t>  + example1</w:t>
            </w:r>
            <w:r>
              <w:rPr>
                <w:rFonts w:ascii="Arial" w:hAnsi="Arial" w:eastAsia="Arial Unicode MS" w:cs="Arial"/>
                <w:color w:val="000000"/>
                <w:kern w:val="24"/>
                <w:sz w:val="16"/>
                <w:szCs w:val="16"/>
                <w:lang w:eastAsia="zh-CN"/>
              </w:rPr>
              <w:t>(BS)</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cs="Arial"/>
                <w:b w:val="0"/>
                <w:bCs w:val="0"/>
                <w:color w:val="FF0000"/>
                <w:sz w:val="16"/>
                <w:szCs w:val="16"/>
                <w:lang w:val="en-US" w:eastAsia="zh-CN"/>
              </w:rPr>
            </w:pPr>
            <w:r>
              <w:rPr>
                <w:rFonts w:ascii="Arial" w:hAnsi="Arial" w:eastAsia="Arial Unicode MS" w:cs="Arial"/>
                <w:b w:val="0"/>
                <w:bCs w:val="0"/>
                <w:color w:val="FF0000"/>
                <w:kern w:val="24"/>
                <w:sz w:val="16"/>
                <w:szCs w:val="16"/>
                <w:lang w:eastAsia="zh-CN"/>
              </w:rPr>
              <w:t>Option b): example2 (UE) + example2(BS)</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Arial Unicode MS" w:cs="Arial"/>
                <w:color w:val="000000"/>
                <w:kern w:val="24"/>
                <w:sz w:val="16"/>
                <w:szCs w:val="16"/>
                <w:lang w:val="en-US" w:eastAsia="zh-CN" w:bidi="ar-SA"/>
              </w:rPr>
            </w:pPr>
            <w:r>
              <w:rPr>
                <w:rFonts w:ascii="Arial" w:hAnsi="Arial" w:eastAsia="等线" w:cs="Arial"/>
                <w:color w:val="000000"/>
                <w:sz w:val="16"/>
                <w:szCs w:val="16"/>
                <w:lang w:val="en-US" w:eastAsia="zh-CN"/>
              </w:rPr>
              <w:t>Option d): example1 (UE) + example2(BS)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eastAsia="zh-CN"/>
              </w:rPr>
              <w:t>txEVM + rxEVM excluding phase noise for 256QAM</w:t>
            </w:r>
          </w:p>
        </w:tc>
        <w:tc>
          <w:tcPr>
            <w:tcW w:w="7720"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ascii="Arial" w:hAnsi="Arial" w:cs="Arial"/>
                <w:sz w:val="16"/>
                <w:szCs w:val="16"/>
                <w:lang w:val="en-US" w:eastAsia="zh-CN"/>
              </w:rPr>
            </w:pPr>
            <w:r>
              <w:rPr>
                <w:rFonts w:ascii="Arial" w:hAnsi="Arial" w:eastAsia="Arial Unicode MS" w:cs="Arial"/>
                <w:color w:val="000000"/>
                <w:kern w:val="24"/>
                <w:sz w:val="16"/>
                <w:szCs w:val="16"/>
                <w:lang w:eastAsia="zh-CN"/>
              </w:rPr>
              <w:t xml:space="preserve">txEVM: 3%, </w:t>
            </w:r>
            <w:r>
              <w:rPr>
                <w:rFonts w:ascii="Arial" w:hAnsi="Arial" w:eastAsia="Arial Unicode MS" w:cs="Arial"/>
                <w:color w:val="FF0000"/>
                <w:kern w:val="24"/>
                <w:sz w:val="16"/>
                <w:szCs w:val="16"/>
                <w:lang w:eastAsia="zh-CN"/>
              </w:rPr>
              <w:t>3.5%</w:t>
            </w:r>
            <w:r>
              <w:rPr>
                <w:rFonts w:ascii="Arial" w:hAnsi="Arial" w:eastAsia="Arial Unicode MS" w:cs="Arial"/>
                <w:color w:val="000000"/>
                <w:kern w:val="24"/>
                <w:sz w:val="16"/>
                <w:szCs w:val="16"/>
                <w:lang w:eastAsia="zh-CN"/>
              </w:rPr>
              <w:t>, 4%</w:t>
            </w:r>
            <w:r>
              <w:rPr>
                <w:rFonts w:ascii="Arial" w:hAnsi="Arial" w:eastAsia="Arial Unicode MS" w:cs="Arial"/>
                <w:color w:val="000000"/>
                <w:kern w:val="24"/>
                <w:sz w:val="16"/>
                <w:szCs w:val="16"/>
                <w:lang w:val="en-US" w:eastAsia="zh-CN"/>
              </w:rPr>
              <w:t xml:space="preserve">, rxEVM: </w:t>
            </w:r>
            <w:r>
              <w:rPr>
                <w:rFonts w:ascii="Arial" w:hAnsi="Arial" w:eastAsia="Arial Unicode MS" w:cs="Arial"/>
                <w:color w:val="000000"/>
                <w:kern w:val="24"/>
                <w:sz w:val="16"/>
                <w:szCs w:val="16"/>
                <w:lang w:eastAsia="zh-CN"/>
              </w:rPr>
              <w:t xml:space="preserve">3%, </w:t>
            </w:r>
            <w:r>
              <w:rPr>
                <w:rFonts w:ascii="Arial" w:hAnsi="Arial" w:eastAsia="Arial Unicode MS" w:cs="Arial"/>
                <w:color w:val="FF0000"/>
                <w:kern w:val="24"/>
                <w:sz w:val="16"/>
                <w:szCs w:val="16"/>
                <w:lang w:eastAsia="zh-CN"/>
              </w:rPr>
              <w:t>3.5%</w:t>
            </w:r>
            <w:r>
              <w:rPr>
                <w:rFonts w:ascii="Arial" w:hAnsi="Arial" w:eastAsia="Arial Unicode MS" w:cs="Arial"/>
                <w:color w:val="000000"/>
                <w:kern w:val="24"/>
                <w:sz w:val="16"/>
                <w:szCs w:val="16"/>
                <w:lang w:eastAsia="zh-CN"/>
              </w:rPr>
              <w:t>, 4%</w:t>
            </w:r>
          </w:p>
          <w:p>
            <w:pPr>
              <w:keepNext w:val="0"/>
              <w:keepLines w:val="0"/>
              <w:pageBreakBefore w:val="0"/>
              <w:widowControl/>
              <w:kinsoku/>
              <w:wordWrap/>
              <w:overflowPunct/>
              <w:topLinePunct w:val="0"/>
              <w:autoSpaceDE/>
              <w:autoSpaceDN/>
              <w:bidi w:val="0"/>
              <w:adjustRightInd w:val="0"/>
              <w:snapToGrid/>
              <w:spacing w:after="0" w:line="240" w:lineRule="auto"/>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val="en-US" w:eastAsia="zh-CN"/>
              </w:rPr>
              <w:t>Option 1</w:t>
            </w:r>
            <w:r>
              <w:rPr>
                <w:rFonts w:ascii="Arial" w:hAnsi="Arial" w:eastAsia="Arial Unicode MS" w:cs="Arial"/>
                <w:color w:val="000000"/>
                <w:kern w:val="24"/>
                <w:sz w:val="16"/>
                <w:szCs w:val="16"/>
                <w:lang w:eastAsia="zh-CN"/>
              </w:rPr>
              <w:t xml:space="preserve">: txEVM &gt;= rxEVM;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pPr>
              <w:keepNext w:val="0"/>
              <w:keepLines w:val="0"/>
              <w:pageBreakBefore w:val="0"/>
              <w:widowControl/>
              <w:kinsoku/>
              <w:wordWrap/>
              <w:overflowPunct/>
              <w:topLinePunct w:val="0"/>
              <w:autoSpaceDE/>
              <w:autoSpaceDN/>
              <w:bidi w:val="0"/>
              <w:adjustRightInd w:val="0"/>
              <w:snapToGrid/>
              <w:spacing w:after="0" w:line="240" w:lineRule="auto"/>
              <w:jc w:val="both"/>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val="en-US" w:eastAsia="zh-CN"/>
              </w:rPr>
              <w:t>Other parameters</w:t>
            </w:r>
          </w:p>
        </w:tc>
        <w:tc>
          <w:tcPr>
            <w:tcW w:w="7720" w:type="dxa"/>
            <w:vAlign w:val="top"/>
          </w:tcPr>
          <w:p>
            <w:pPr>
              <w:keepNext w:val="0"/>
              <w:keepLines w:val="0"/>
              <w:pageBreakBefore w:val="0"/>
              <w:widowControl/>
              <w:kinsoku/>
              <w:wordWrap/>
              <w:overflowPunct/>
              <w:topLinePunct w:val="0"/>
              <w:autoSpaceDE/>
              <w:autoSpaceDN/>
              <w:bidi w:val="0"/>
              <w:adjustRightInd w:val="0"/>
              <w:snapToGrid/>
              <w:spacing w:after="0" w:line="240" w:lineRule="auto"/>
              <w:jc w:val="both"/>
              <w:textAlignment w:val="auto"/>
              <w:rPr>
                <w:rFonts w:hint="default" w:ascii="Arial" w:hAnsi="Arial" w:eastAsia="Times New Roman" w:cs="Arial"/>
                <w:sz w:val="16"/>
                <w:szCs w:val="16"/>
                <w:lang w:val="en-US" w:eastAsia="zh-CN" w:bidi="ar-SA"/>
              </w:rPr>
            </w:pPr>
            <w:r>
              <w:rPr>
                <w:rFonts w:ascii="Arial" w:hAnsi="Arial" w:eastAsia="Arial Unicode MS" w:cs="Arial"/>
                <w:color w:val="000000"/>
                <w:kern w:val="24"/>
                <w:sz w:val="16"/>
                <w:szCs w:val="16"/>
                <w:lang w:val="en-US" w:eastAsia="zh-CN"/>
              </w:rPr>
              <w:t>follow assumptions in TS38.104 Section 11.2.2 .</w:t>
            </w:r>
          </w:p>
        </w:tc>
      </w:tr>
    </w:tbl>
    <w:p>
      <w:pPr>
        <w:keepNext w:val="0"/>
        <w:keepLines w:val="0"/>
        <w:adjustRightInd w:val="0"/>
        <w:snapToGrid w:val="0"/>
        <w:spacing w:after="0" w:line="240" w:lineRule="auto"/>
        <w:jc w:val="center"/>
        <w:rPr>
          <w:rFonts w:hint="default" w:ascii="Times New Roman" w:hAnsi="Times New Roman" w:eastAsia="宋体" w:cs="Times New Roman"/>
          <w:lang w:eastAsia="zh-CN"/>
        </w:rPr>
      </w:pPr>
      <w:r>
        <w:rPr>
          <w:rFonts w:hint="eastAsia" w:ascii="Times New Roman" w:hAnsi="Times New Roman" w:eastAsia="宋体" w:cs="Times New Roman"/>
          <w:lang w:val="en-US" w:eastAsia="zh-CN"/>
        </w:rPr>
        <w:t xml:space="preserve">Table A.2 </w:t>
      </w:r>
      <w:r>
        <w:rPr>
          <w:rFonts w:hint="eastAsia" w:ascii="Times New Roman" w:hAnsi="Times New Roman" w:eastAsia="宋体" w:cs="Times New Roman"/>
          <w:lang w:eastAsia="zh-CN"/>
        </w:rPr>
        <w:t>Table 6.2.1.1-1: UE minimum peak EIRP for power class 1</w:t>
      </w:r>
      <w:r>
        <w:rPr>
          <w:rFonts w:hint="eastAsia" w:ascii="Times New Roman" w:hAnsi="Times New Roman" w:eastAsia="宋体" w:cs="Times New Roman"/>
          <w:lang w:val="en-US" w:eastAsia="zh-CN"/>
        </w:rPr>
        <w:t xml:space="preserve"> from [3]</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5"/>
        <w:gridCol w:w="3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34"/>
              <w:adjustRightInd w:val="0"/>
              <w:snapToGrid w:val="0"/>
              <w:spacing w:after="0" w:line="240" w:lineRule="auto"/>
            </w:pPr>
            <w:r>
              <w:t>Operating band</w:t>
            </w:r>
          </w:p>
        </w:tc>
        <w:tc>
          <w:tcPr>
            <w:tcW w:w="0" w:type="auto"/>
            <w:shd w:val="clear" w:color="auto" w:fill="auto"/>
            <w:vAlign w:val="center"/>
          </w:tcPr>
          <w:p>
            <w:pPr>
              <w:pStyle w:val="34"/>
              <w:adjustRightInd w:val="0"/>
              <w:snapToGrid w:val="0"/>
              <w:spacing w:after="0" w:line="240" w:lineRule="auto"/>
            </w:pPr>
            <w:r>
              <w:t>Min peak EIRP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35"/>
              <w:adjustRightInd w:val="0"/>
              <w:snapToGrid w:val="0"/>
              <w:spacing w:after="0" w:line="240" w:lineRule="auto"/>
            </w:pPr>
            <w:r>
              <w:t>n257</w:t>
            </w:r>
          </w:p>
        </w:tc>
        <w:tc>
          <w:tcPr>
            <w:tcW w:w="0" w:type="auto"/>
            <w:shd w:val="clear" w:color="auto" w:fill="auto"/>
          </w:tcPr>
          <w:p>
            <w:pPr>
              <w:pStyle w:val="35"/>
              <w:adjustRightInd w:val="0"/>
              <w:snapToGrid w:val="0"/>
              <w:spacing w:after="0" w:line="240" w:lineRule="auto"/>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35"/>
              <w:adjustRightInd w:val="0"/>
              <w:snapToGrid w:val="0"/>
              <w:spacing w:after="0" w:line="240" w:lineRule="auto"/>
            </w:pPr>
            <w:r>
              <w:t>n258</w:t>
            </w:r>
          </w:p>
        </w:tc>
        <w:tc>
          <w:tcPr>
            <w:tcW w:w="0" w:type="auto"/>
            <w:shd w:val="clear" w:color="auto" w:fill="auto"/>
          </w:tcPr>
          <w:p>
            <w:pPr>
              <w:pStyle w:val="35"/>
              <w:adjustRightInd w:val="0"/>
              <w:snapToGrid w:val="0"/>
              <w:spacing w:after="0" w:line="240" w:lineRule="auto"/>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35"/>
              <w:adjustRightInd w:val="0"/>
              <w:snapToGrid w:val="0"/>
              <w:spacing w:after="0" w:line="240" w:lineRule="auto"/>
            </w:pPr>
            <w:r>
              <w:t>n260</w:t>
            </w:r>
          </w:p>
        </w:tc>
        <w:tc>
          <w:tcPr>
            <w:tcW w:w="0" w:type="auto"/>
            <w:shd w:val="clear" w:color="auto" w:fill="auto"/>
          </w:tcPr>
          <w:p>
            <w:pPr>
              <w:pStyle w:val="35"/>
              <w:adjustRightInd w:val="0"/>
              <w:snapToGrid w:val="0"/>
              <w:spacing w:after="0" w:line="240" w:lineRule="auto"/>
            </w:pPr>
            <w: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35"/>
              <w:adjustRightInd w:val="0"/>
              <w:snapToGrid w:val="0"/>
              <w:spacing w:after="0" w:line="240" w:lineRule="auto"/>
            </w:pPr>
            <w:r>
              <w:t>n261</w:t>
            </w:r>
          </w:p>
        </w:tc>
        <w:tc>
          <w:tcPr>
            <w:tcW w:w="0" w:type="auto"/>
            <w:shd w:val="clear" w:color="auto" w:fill="auto"/>
          </w:tcPr>
          <w:p>
            <w:pPr>
              <w:pStyle w:val="35"/>
              <w:adjustRightInd w:val="0"/>
              <w:snapToGrid w:val="0"/>
              <w:spacing w:after="0" w:line="240" w:lineRule="auto"/>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5"/>
              <w:adjustRightInd w:val="0"/>
              <w:snapToGrid w:val="0"/>
              <w:spacing w:after="0" w:line="240" w:lineRule="auto"/>
            </w:pPr>
            <w:r>
              <w:t>n262</w:t>
            </w:r>
          </w:p>
        </w:tc>
        <w:tc>
          <w:tcPr>
            <w:tcW w:w="0" w:type="auto"/>
            <w:tcBorders>
              <w:top w:val="single" w:color="auto" w:sz="4" w:space="0"/>
              <w:left w:val="single" w:color="auto" w:sz="4" w:space="0"/>
              <w:bottom w:val="single" w:color="auto" w:sz="4" w:space="0"/>
              <w:right w:val="single" w:color="auto" w:sz="4" w:space="0"/>
            </w:tcBorders>
          </w:tcPr>
          <w:p>
            <w:pPr>
              <w:pStyle w:val="35"/>
              <w:adjustRightInd w:val="0"/>
              <w:snapToGrid w:val="0"/>
              <w:spacing w:after="0" w:line="240" w:lineRule="auto"/>
            </w:pPr>
            <w: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5"/>
              <w:adjustRightInd w:val="0"/>
              <w:snapToGrid w:val="0"/>
              <w:spacing w:after="0" w:line="240" w:lineRule="auto"/>
            </w:pPr>
            <w:r>
              <w:t>n263</w:t>
            </w:r>
          </w:p>
        </w:tc>
        <w:tc>
          <w:tcPr>
            <w:tcW w:w="0" w:type="auto"/>
            <w:tcBorders>
              <w:top w:val="single" w:color="auto" w:sz="4" w:space="0"/>
              <w:left w:val="single" w:color="auto" w:sz="4" w:space="0"/>
              <w:bottom w:val="single" w:color="auto" w:sz="4" w:space="0"/>
              <w:right w:val="single" w:color="auto" w:sz="4" w:space="0"/>
            </w:tcBorders>
          </w:tcPr>
          <w:p>
            <w:pPr>
              <w:pStyle w:val="35"/>
              <w:adjustRightInd w:val="0"/>
              <w:snapToGrid w:val="0"/>
              <w:spacing w:after="0" w:line="240" w:lineRule="auto"/>
            </w:pPr>
            <w:r>
              <w:t>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2"/>
            <w:shd w:val="clear" w:color="auto" w:fill="auto"/>
          </w:tcPr>
          <w:p>
            <w:pPr>
              <w:pStyle w:val="56"/>
              <w:adjustRightInd w:val="0"/>
              <w:snapToGrid w:val="0"/>
              <w:spacing w:after="0" w:line="240" w:lineRule="auto"/>
            </w:pPr>
            <w:r>
              <w:t>NOTE 1:</w:t>
            </w:r>
            <w:r>
              <w:tab/>
            </w:r>
            <w:r>
              <w:t>Minimum peak EIRP is defined as the lower limit without tolerance</w:t>
            </w:r>
          </w:p>
        </w:tc>
      </w:tr>
    </w:tbl>
    <w:p>
      <w:pPr>
        <w:keepNext w:val="0"/>
        <w:keepLines w:val="0"/>
        <w:adjustRightInd w:val="0"/>
        <w:snapToGrid w:val="0"/>
        <w:spacing w:after="0" w:line="240" w:lineRule="auto"/>
        <w:jc w:val="center"/>
        <w:rPr>
          <w:rFonts w:hint="eastAsia" w:ascii="Times New Roman" w:hAnsi="Times New Roman" w:eastAsia="宋体" w:cs="Times New Roman"/>
          <w:lang w:val="en-US" w:eastAsia="zh-CN"/>
        </w:rPr>
      </w:pPr>
    </w:p>
    <w:p>
      <w:pPr>
        <w:keepNext w:val="0"/>
        <w:keepLines w:val="0"/>
        <w:adjustRightInd w:val="0"/>
        <w:snapToGrid w:val="0"/>
        <w:spacing w:after="0" w:line="240" w:lineRule="auto"/>
        <w:jc w:val="center"/>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 xml:space="preserve">Table A.3 </w:t>
      </w:r>
      <w:r>
        <w:rPr>
          <w:rFonts w:hint="eastAsia" w:ascii="Times New Roman" w:hAnsi="Times New Roman" w:eastAsia="宋体" w:cs="Times New Roman"/>
          <w:lang w:eastAsia="zh-CN"/>
        </w:rPr>
        <w:t>Table 6.2.1.2-1: UE minimum peak EIRP for power class 2</w:t>
      </w:r>
      <w:r>
        <w:rPr>
          <w:rFonts w:hint="eastAsia" w:ascii="Times New Roman" w:hAnsi="Times New Roman" w:eastAsia="宋体" w:cs="Times New Roman"/>
          <w:lang w:val="en-US" w:eastAsia="zh-CN"/>
        </w:rPr>
        <w:t xml:space="preserve"> from [3]</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5"/>
        <w:gridCol w:w="3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34"/>
              <w:adjustRightInd w:val="0"/>
              <w:snapToGrid w:val="0"/>
              <w:spacing w:after="0" w:line="240" w:lineRule="auto"/>
              <w:rPr>
                <w:rFonts w:eastAsia="Calibri"/>
                <w:szCs w:val="22"/>
              </w:rPr>
            </w:pPr>
            <w:r>
              <w:rPr>
                <w:rFonts w:eastAsia="Calibri"/>
                <w:szCs w:val="22"/>
              </w:rPr>
              <w:t>Operating band</w:t>
            </w:r>
          </w:p>
        </w:tc>
        <w:tc>
          <w:tcPr>
            <w:tcW w:w="0" w:type="auto"/>
            <w:shd w:val="clear" w:color="auto" w:fill="auto"/>
            <w:vAlign w:val="center"/>
          </w:tcPr>
          <w:p>
            <w:pPr>
              <w:pStyle w:val="34"/>
              <w:adjustRightInd w:val="0"/>
              <w:snapToGrid w:val="0"/>
              <w:spacing w:after="0" w:line="240" w:lineRule="auto"/>
              <w:rPr>
                <w:rFonts w:eastAsia="Calibri"/>
                <w:szCs w:val="22"/>
              </w:rPr>
            </w:pPr>
            <w:r>
              <w:rPr>
                <w:rFonts w:eastAsia="Calibri"/>
                <w:szCs w:val="22"/>
              </w:rPr>
              <w:t>Min peak EIRP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35"/>
              <w:adjustRightInd w:val="0"/>
              <w:snapToGrid w:val="0"/>
              <w:spacing w:after="0" w:line="240" w:lineRule="auto"/>
              <w:rPr>
                <w:rFonts w:eastAsia="Calibri"/>
              </w:rPr>
            </w:pPr>
            <w:r>
              <w:rPr>
                <w:rFonts w:eastAsia="Calibri"/>
              </w:rPr>
              <w:t>n257</w:t>
            </w:r>
          </w:p>
        </w:tc>
        <w:tc>
          <w:tcPr>
            <w:tcW w:w="0" w:type="auto"/>
            <w:shd w:val="clear" w:color="auto" w:fill="auto"/>
            <w:vAlign w:val="center"/>
          </w:tcPr>
          <w:p>
            <w:pPr>
              <w:pStyle w:val="35"/>
              <w:adjustRightInd w:val="0"/>
              <w:snapToGrid w:val="0"/>
              <w:spacing w:after="0" w:line="240" w:lineRule="auto"/>
              <w:rPr>
                <w:rFonts w:eastAsia="Calibri"/>
              </w:rPr>
            </w:pPr>
            <w:r>
              <w:rPr>
                <w:rFonts w:hint="eastAsia" w:eastAsia="Calibri"/>
                <w:lang w:eastAsia="ko-K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35"/>
              <w:adjustRightInd w:val="0"/>
              <w:snapToGrid w:val="0"/>
              <w:spacing w:after="0" w:line="240" w:lineRule="auto"/>
              <w:rPr>
                <w:rFonts w:eastAsia="Calibri"/>
              </w:rPr>
            </w:pPr>
            <w:r>
              <w:rPr>
                <w:rFonts w:eastAsia="Calibri"/>
              </w:rPr>
              <w:t>n258</w:t>
            </w:r>
          </w:p>
        </w:tc>
        <w:tc>
          <w:tcPr>
            <w:tcW w:w="0" w:type="auto"/>
            <w:shd w:val="clear" w:color="auto" w:fill="auto"/>
            <w:vAlign w:val="center"/>
          </w:tcPr>
          <w:p>
            <w:pPr>
              <w:pStyle w:val="35"/>
              <w:adjustRightInd w:val="0"/>
              <w:snapToGrid w:val="0"/>
              <w:spacing w:after="0" w:line="240" w:lineRule="auto"/>
              <w:rPr>
                <w:rFonts w:eastAsia="Calibri"/>
              </w:rPr>
            </w:pPr>
            <w:r>
              <w:rPr>
                <w:rFonts w:hint="eastAsia" w:eastAsia="Calibri"/>
                <w:lang w:eastAsia="ko-K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35"/>
              <w:adjustRightInd w:val="0"/>
              <w:snapToGrid w:val="0"/>
              <w:spacing w:after="0" w:line="240" w:lineRule="auto"/>
              <w:rPr>
                <w:rFonts w:eastAsia="Calibri"/>
              </w:rPr>
            </w:pPr>
            <w:r>
              <w:rPr>
                <w:lang w:eastAsia="ko-KR"/>
              </w:rPr>
              <w:t>n</w:t>
            </w:r>
            <w:r>
              <w:rPr>
                <w:rFonts w:hint="eastAsia"/>
                <w:lang w:eastAsia="ko-KR"/>
              </w:rPr>
              <w:t>2</w:t>
            </w:r>
            <w:r>
              <w:rPr>
                <w:lang w:eastAsia="ko-KR"/>
              </w:rPr>
              <w:t>59</w:t>
            </w:r>
          </w:p>
        </w:tc>
        <w:tc>
          <w:tcPr>
            <w:tcW w:w="0" w:type="auto"/>
            <w:shd w:val="clear" w:color="auto" w:fill="auto"/>
            <w:vAlign w:val="center"/>
          </w:tcPr>
          <w:p>
            <w:pPr>
              <w:pStyle w:val="35"/>
              <w:adjustRightInd w:val="0"/>
              <w:snapToGrid w:val="0"/>
              <w:spacing w:after="0" w:line="240" w:lineRule="auto"/>
              <w:rPr>
                <w:rFonts w:eastAsia="Calibri"/>
                <w:lang w:eastAsia="ko-KR"/>
              </w:rPr>
            </w:pPr>
            <w:r>
              <w:rPr>
                <w:rFonts w:hint="eastAsia"/>
                <w:lang w:eastAsia="ko-K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35"/>
              <w:adjustRightInd w:val="0"/>
              <w:snapToGrid w:val="0"/>
              <w:spacing w:after="0" w:line="240" w:lineRule="auto"/>
              <w:rPr>
                <w:rFonts w:eastAsia="Calibri"/>
              </w:rPr>
            </w:pPr>
            <w:r>
              <w:rPr>
                <w:rFonts w:eastAsia="Calibri"/>
              </w:rPr>
              <w:t>n261</w:t>
            </w:r>
          </w:p>
        </w:tc>
        <w:tc>
          <w:tcPr>
            <w:tcW w:w="0" w:type="auto"/>
            <w:shd w:val="clear" w:color="auto" w:fill="auto"/>
            <w:vAlign w:val="center"/>
          </w:tcPr>
          <w:p>
            <w:pPr>
              <w:pStyle w:val="35"/>
              <w:adjustRightInd w:val="0"/>
              <w:snapToGrid w:val="0"/>
              <w:spacing w:after="0" w:line="240" w:lineRule="auto"/>
              <w:rPr>
                <w:rFonts w:eastAsia="Calibri"/>
              </w:rPr>
            </w:pPr>
            <w:r>
              <w:rPr>
                <w:rFonts w:hint="eastAsia" w:eastAsia="Calibri"/>
                <w:lang w:eastAsia="ko-K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rPr>
                <w:rFonts w:eastAsia="Calibri"/>
              </w:rPr>
            </w:pPr>
            <w:r>
              <w:rPr>
                <w:rFonts w:eastAsia="Calibri"/>
              </w:rPr>
              <w:t>n262</w:t>
            </w:r>
          </w:p>
        </w:tc>
        <w:tc>
          <w:tcPr>
            <w:tcW w:w="0" w:type="auto"/>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rPr>
                <w:rFonts w:eastAsia="Calibri"/>
                <w:lang w:eastAsia="ko-KR"/>
              </w:rPr>
            </w:pPr>
            <w:r>
              <w:rPr>
                <w:rFonts w:eastAsia="Calibri"/>
                <w:lang w:eastAsia="ko-KR"/>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rPr>
                <w:rFonts w:eastAsia="Calibri"/>
              </w:rPr>
            </w:pPr>
            <w:r>
              <w:rPr>
                <w:rFonts w:eastAsia="Calibri"/>
              </w:rPr>
              <w:t>n263</w:t>
            </w:r>
          </w:p>
        </w:tc>
        <w:tc>
          <w:tcPr>
            <w:tcW w:w="0" w:type="auto"/>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rPr>
                <w:rFonts w:eastAsia="Calibri"/>
                <w:lang w:eastAsia="ko-KR"/>
              </w:rPr>
            </w:pPr>
            <w:r>
              <w:rPr>
                <w:rFonts w:eastAsia="Calibri"/>
                <w:lang w:eastAsia="ko-KR"/>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2"/>
            <w:shd w:val="clear" w:color="auto" w:fill="auto"/>
          </w:tcPr>
          <w:p>
            <w:pPr>
              <w:pStyle w:val="56"/>
              <w:adjustRightInd w:val="0"/>
              <w:snapToGrid w:val="0"/>
              <w:spacing w:after="0" w:line="240" w:lineRule="auto"/>
              <w:rPr>
                <w:rFonts w:eastAsia="Calibri"/>
                <w:szCs w:val="22"/>
              </w:rPr>
            </w:pPr>
            <w:r>
              <w:rPr>
                <w:rFonts w:eastAsia="Calibri"/>
                <w:szCs w:val="22"/>
              </w:rPr>
              <w:t>NOTE 1:</w:t>
            </w:r>
            <w:r>
              <w:rPr>
                <w:rFonts w:eastAsia="Calibri"/>
                <w:szCs w:val="22"/>
              </w:rPr>
              <w:tab/>
            </w:r>
            <w:r>
              <w:rPr>
                <w:rFonts w:eastAsia="Calibri"/>
                <w:szCs w:val="22"/>
              </w:rPr>
              <w:t>Minimum peak EIRP is defined as the lower limit without tolerance</w:t>
            </w:r>
          </w:p>
        </w:tc>
      </w:tr>
    </w:tbl>
    <w:p>
      <w:pPr>
        <w:keepNext w:val="0"/>
        <w:keepLines w:val="0"/>
        <w:adjustRightInd w:val="0"/>
        <w:snapToGrid w:val="0"/>
        <w:spacing w:after="0" w:line="240" w:lineRule="auto"/>
        <w:jc w:val="center"/>
        <w:rPr>
          <w:rFonts w:hint="eastAsia" w:ascii="Times New Roman" w:hAnsi="Times New Roman" w:eastAsia="宋体" w:cs="Times New Roman"/>
          <w:lang w:eastAsia="zh-CN"/>
        </w:rPr>
      </w:pPr>
      <w:bookmarkStart w:id="11" w:name="OLE_LINK35"/>
    </w:p>
    <w:p>
      <w:pPr>
        <w:keepNext w:val="0"/>
        <w:keepLines w:val="0"/>
        <w:adjustRightInd w:val="0"/>
        <w:snapToGrid w:val="0"/>
        <w:spacing w:after="0" w:line="240" w:lineRule="auto"/>
        <w:jc w:val="center"/>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 xml:space="preserve">Table A.4 </w:t>
      </w:r>
      <w:r>
        <w:rPr>
          <w:rFonts w:hint="eastAsia" w:ascii="Times New Roman" w:hAnsi="Times New Roman" w:eastAsia="宋体" w:cs="Times New Roman"/>
          <w:lang w:eastAsia="zh-CN"/>
        </w:rPr>
        <w:t>Table 6.2.1.5-1: UE minimum peak EIRP for power class 5</w:t>
      </w:r>
      <w:r>
        <w:rPr>
          <w:rFonts w:hint="eastAsia" w:ascii="Times New Roman" w:hAnsi="Times New Roman" w:eastAsia="宋体" w:cs="Times New Roman"/>
          <w:lang w:val="en-US" w:eastAsia="zh-CN"/>
        </w:rPr>
        <w:t xml:space="preserve"> from [3]</w:t>
      </w:r>
    </w:p>
    <w:tbl>
      <w:tblPr>
        <w:tblStyle w:val="1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97"/>
        <w:gridCol w:w="43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797" w:type="dxa"/>
            <w:tcBorders>
              <w:top w:val="single" w:color="auto" w:sz="4" w:space="0"/>
              <w:left w:val="single" w:color="auto" w:sz="4" w:space="0"/>
              <w:right w:val="single" w:color="auto" w:sz="4" w:space="0"/>
            </w:tcBorders>
            <w:vAlign w:val="center"/>
          </w:tcPr>
          <w:p>
            <w:pPr>
              <w:pStyle w:val="34"/>
              <w:adjustRightInd w:val="0"/>
              <w:snapToGrid w:val="0"/>
              <w:spacing w:after="0" w:line="240" w:lineRule="auto"/>
            </w:pPr>
            <w:r>
              <w:t>Operating band</w:t>
            </w:r>
          </w:p>
        </w:tc>
        <w:tc>
          <w:tcPr>
            <w:tcW w:w="4370" w:type="dxa"/>
            <w:tcBorders>
              <w:top w:val="single" w:color="auto" w:sz="4" w:space="0"/>
              <w:left w:val="single" w:color="auto" w:sz="4" w:space="0"/>
              <w:bottom w:val="single" w:color="auto" w:sz="4" w:space="0"/>
              <w:right w:val="single" w:color="auto" w:sz="4" w:space="0"/>
            </w:tcBorders>
            <w:vAlign w:val="center"/>
          </w:tcPr>
          <w:p>
            <w:pPr>
              <w:pStyle w:val="34"/>
              <w:adjustRightInd w:val="0"/>
              <w:snapToGrid w:val="0"/>
              <w:spacing w:after="0" w:line="240" w:lineRule="auto"/>
            </w:pPr>
            <w:r>
              <w:t>Min peak EIRP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797"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n257</w:t>
            </w:r>
          </w:p>
        </w:tc>
        <w:tc>
          <w:tcPr>
            <w:tcW w:w="4370"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797"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n258</w:t>
            </w:r>
          </w:p>
        </w:tc>
        <w:tc>
          <w:tcPr>
            <w:tcW w:w="4370"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30.4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797"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n259</w:t>
            </w:r>
          </w:p>
        </w:tc>
        <w:tc>
          <w:tcPr>
            <w:tcW w:w="4370" w:type="dxa"/>
            <w:tcBorders>
              <w:top w:val="single" w:color="auto" w:sz="4" w:space="0"/>
              <w:left w:val="single" w:color="auto" w:sz="4" w:space="0"/>
              <w:bottom w:val="single" w:color="auto" w:sz="4" w:space="0"/>
              <w:right w:val="single" w:color="auto" w:sz="4" w:space="0"/>
            </w:tcBorders>
            <w:vAlign w:val="center"/>
          </w:tcPr>
          <w:p>
            <w:pPr>
              <w:pStyle w:val="35"/>
              <w:adjustRightInd w:val="0"/>
              <w:snapToGrid w:val="0"/>
              <w:spacing w:after="0" w:line="240" w:lineRule="auto"/>
            </w:pPr>
            <w:r>
              <w:t>27.7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6167" w:type="dxa"/>
            <w:gridSpan w:val="2"/>
            <w:tcBorders>
              <w:top w:val="single" w:color="auto" w:sz="4" w:space="0"/>
              <w:left w:val="single" w:color="auto" w:sz="4" w:space="0"/>
              <w:bottom w:val="single" w:color="auto" w:sz="4" w:space="0"/>
            </w:tcBorders>
            <w:vAlign w:val="center"/>
          </w:tcPr>
          <w:p>
            <w:pPr>
              <w:pStyle w:val="56"/>
              <w:adjustRightInd w:val="0"/>
              <w:snapToGrid w:val="0"/>
              <w:spacing w:after="0" w:line="240" w:lineRule="auto"/>
            </w:pPr>
            <w:r>
              <w:t>NOTE 1:</w:t>
            </w:r>
            <w:r>
              <w:tab/>
            </w:r>
            <w:r>
              <w:t>Minimum peak EIRP is defined as the lower limit without tolerance</w:t>
            </w:r>
          </w:p>
        </w:tc>
      </w:tr>
      <w:bookmarkEnd w:id="11"/>
    </w:tbl>
    <w:p>
      <w:pPr>
        <w:jc w:val="both"/>
        <w:rPr>
          <w:rFonts w:hint="eastAsia" w:cs="Times New Roman"/>
          <w:b/>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MS PGothic">
    <w:panose1 w:val="020B0600070205080204"/>
    <w:charset w:val="80"/>
    <w:family w:val="swiss"/>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8675CA"/>
    <w:multiLevelType w:val="singleLevel"/>
    <w:tmpl w:val="FD8675CA"/>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AC771BC"/>
    <w:multiLevelType w:val="multilevel"/>
    <w:tmpl w:val="1AC771BC"/>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39DB4617"/>
    <w:multiLevelType w:val="multilevel"/>
    <w:tmpl w:val="39DB4617"/>
    <w:lvl w:ilvl="0" w:tentative="0">
      <w:start w:val="1"/>
      <w:numFmt w:val="bullet"/>
      <w:lvlText w:val=""/>
      <w:lvlJc w:val="left"/>
      <w:pPr>
        <w:tabs>
          <w:tab w:val="left" w:pos="-420"/>
        </w:tabs>
        <w:ind w:left="284" w:hanging="420"/>
      </w:pPr>
      <w:rPr>
        <w:rFonts w:hint="default" w:ascii="Wingdings" w:hAnsi="Wingdings"/>
      </w:rPr>
    </w:lvl>
    <w:lvl w:ilvl="1" w:tentative="0">
      <w:start w:val="1"/>
      <w:numFmt w:val="bullet"/>
      <w:lvlText w:val=""/>
      <w:lvlJc w:val="left"/>
      <w:pPr>
        <w:tabs>
          <w:tab w:val="left" w:pos="-420"/>
        </w:tabs>
        <w:ind w:left="704" w:hanging="420"/>
      </w:pPr>
      <w:rPr>
        <w:rFonts w:hint="default" w:ascii="Wingdings" w:hAnsi="Wingdings"/>
      </w:rPr>
    </w:lvl>
    <w:lvl w:ilvl="2" w:tentative="0">
      <w:start w:val="1"/>
      <w:numFmt w:val="bullet"/>
      <w:lvlText w:val=""/>
      <w:lvlJc w:val="left"/>
      <w:pPr>
        <w:tabs>
          <w:tab w:val="left" w:pos="-420"/>
        </w:tabs>
        <w:ind w:left="1124" w:hanging="420"/>
      </w:pPr>
      <w:rPr>
        <w:rFonts w:hint="default" w:ascii="Wingdings" w:hAnsi="Wingdings"/>
      </w:rPr>
    </w:lvl>
    <w:lvl w:ilvl="3" w:tentative="0">
      <w:start w:val="1"/>
      <w:numFmt w:val="bullet"/>
      <w:lvlText w:val=""/>
      <w:lvlJc w:val="left"/>
      <w:pPr>
        <w:tabs>
          <w:tab w:val="left" w:pos="-420"/>
        </w:tabs>
        <w:ind w:left="1544" w:hanging="420"/>
      </w:pPr>
      <w:rPr>
        <w:rFonts w:hint="default" w:ascii="Wingdings" w:hAnsi="Wingdings"/>
      </w:rPr>
    </w:lvl>
    <w:lvl w:ilvl="4" w:tentative="0">
      <w:start w:val="1"/>
      <w:numFmt w:val="bullet"/>
      <w:lvlText w:val=""/>
      <w:lvlJc w:val="left"/>
      <w:pPr>
        <w:tabs>
          <w:tab w:val="left" w:pos="-420"/>
        </w:tabs>
        <w:ind w:left="1964" w:hanging="420"/>
      </w:pPr>
      <w:rPr>
        <w:rFonts w:hint="default" w:ascii="Wingdings" w:hAnsi="Wingdings"/>
      </w:rPr>
    </w:lvl>
    <w:lvl w:ilvl="5" w:tentative="0">
      <w:start w:val="1"/>
      <w:numFmt w:val="bullet"/>
      <w:lvlText w:val=""/>
      <w:lvlJc w:val="left"/>
      <w:pPr>
        <w:tabs>
          <w:tab w:val="left" w:pos="-420"/>
        </w:tabs>
        <w:ind w:left="2384" w:hanging="420"/>
      </w:pPr>
      <w:rPr>
        <w:rFonts w:hint="default" w:ascii="Wingdings" w:hAnsi="Wingdings"/>
      </w:rPr>
    </w:lvl>
    <w:lvl w:ilvl="6" w:tentative="0">
      <w:start w:val="1"/>
      <w:numFmt w:val="bullet"/>
      <w:lvlText w:val=""/>
      <w:lvlJc w:val="left"/>
      <w:pPr>
        <w:tabs>
          <w:tab w:val="left" w:pos="-420"/>
        </w:tabs>
        <w:ind w:left="2804" w:hanging="420"/>
      </w:pPr>
      <w:rPr>
        <w:rFonts w:hint="default" w:ascii="Wingdings" w:hAnsi="Wingdings"/>
      </w:rPr>
    </w:lvl>
    <w:lvl w:ilvl="7" w:tentative="0">
      <w:start w:val="1"/>
      <w:numFmt w:val="bullet"/>
      <w:lvlText w:val=""/>
      <w:lvlJc w:val="left"/>
      <w:pPr>
        <w:tabs>
          <w:tab w:val="left" w:pos="-420"/>
        </w:tabs>
        <w:ind w:left="3224" w:hanging="420"/>
      </w:pPr>
      <w:rPr>
        <w:rFonts w:hint="default" w:ascii="Wingdings" w:hAnsi="Wingdings"/>
      </w:rPr>
    </w:lvl>
    <w:lvl w:ilvl="8" w:tentative="0">
      <w:start w:val="1"/>
      <w:numFmt w:val="bullet"/>
      <w:lvlText w:val=""/>
      <w:lvlJc w:val="left"/>
      <w:pPr>
        <w:tabs>
          <w:tab w:val="left" w:pos="-420"/>
        </w:tabs>
        <w:ind w:left="3644" w:hanging="420"/>
      </w:pPr>
      <w:rPr>
        <w:rFonts w:hint="default" w:ascii="Wingdings" w:hAnsi="Wingdings"/>
      </w:r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3F3940"/>
    <w:rsid w:val="0153531E"/>
    <w:rsid w:val="01624027"/>
    <w:rsid w:val="0165337E"/>
    <w:rsid w:val="0180738E"/>
    <w:rsid w:val="018B3BAA"/>
    <w:rsid w:val="01945324"/>
    <w:rsid w:val="01957959"/>
    <w:rsid w:val="01BA0053"/>
    <w:rsid w:val="01C6291D"/>
    <w:rsid w:val="01DC1C82"/>
    <w:rsid w:val="02065A2E"/>
    <w:rsid w:val="020928F5"/>
    <w:rsid w:val="021A5187"/>
    <w:rsid w:val="02281CFD"/>
    <w:rsid w:val="0228598B"/>
    <w:rsid w:val="025B0AD8"/>
    <w:rsid w:val="02626E3D"/>
    <w:rsid w:val="02721826"/>
    <w:rsid w:val="02770E1A"/>
    <w:rsid w:val="028C48C4"/>
    <w:rsid w:val="029469E7"/>
    <w:rsid w:val="0298367A"/>
    <w:rsid w:val="02D254EC"/>
    <w:rsid w:val="02DE07AA"/>
    <w:rsid w:val="02E43D5D"/>
    <w:rsid w:val="02F72239"/>
    <w:rsid w:val="02F759DA"/>
    <w:rsid w:val="02FE5F82"/>
    <w:rsid w:val="03256F39"/>
    <w:rsid w:val="032D5AEE"/>
    <w:rsid w:val="03311F41"/>
    <w:rsid w:val="036F028C"/>
    <w:rsid w:val="03A05508"/>
    <w:rsid w:val="03AB67DC"/>
    <w:rsid w:val="03C77456"/>
    <w:rsid w:val="04267691"/>
    <w:rsid w:val="043D2559"/>
    <w:rsid w:val="045D198A"/>
    <w:rsid w:val="046824A8"/>
    <w:rsid w:val="0478015E"/>
    <w:rsid w:val="04B43FA7"/>
    <w:rsid w:val="04D7645F"/>
    <w:rsid w:val="04EB6A3A"/>
    <w:rsid w:val="04F46C46"/>
    <w:rsid w:val="04FB6A86"/>
    <w:rsid w:val="04FC2C75"/>
    <w:rsid w:val="0526729B"/>
    <w:rsid w:val="05510DD1"/>
    <w:rsid w:val="059160D0"/>
    <w:rsid w:val="05AE018C"/>
    <w:rsid w:val="05B32ECD"/>
    <w:rsid w:val="060C6E94"/>
    <w:rsid w:val="062A620F"/>
    <w:rsid w:val="064B00B0"/>
    <w:rsid w:val="06654A0B"/>
    <w:rsid w:val="06823D8F"/>
    <w:rsid w:val="06883FFB"/>
    <w:rsid w:val="06C93669"/>
    <w:rsid w:val="06CC69B4"/>
    <w:rsid w:val="06F07151"/>
    <w:rsid w:val="07122035"/>
    <w:rsid w:val="07622262"/>
    <w:rsid w:val="0793078D"/>
    <w:rsid w:val="079323B2"/>
    <w:rsid w:val="079F025C"/>
    <w:rsid w:val="07A9337A"/>
    <w:rsid w:val="07CD3CDD"/>
    <w:rsid w:val="07E96697"/>
    <w:rsid w:val="082F2807"/>
    <w:rsid w:val="085145EC"/>
    <w:rsid w:val="085C2CEC"/>
    <w:rsid w:val="085D2367"/>
    <w:rsid w:val="085F7645"/>
    <w:rsid w:val="08721912"/>
    <w:rsid w:val="08AD5856"/>
    <w:rsid w:val="08C13553"/>
    <w:rsid w:val="08C71DC3"/>
    <w:rsid w:val="08EE2ED2"/>
    <w:rsid w:val="08FB28C9"/>
    <w:rsid w:val="09294F7D"/>
    <w:rsid w:val="09674661"/>
    <w:rsid w:val="097E672F"/>
    <w:rsid w:val="09825F02"/>
    <w:rsid w:val="09AB6C45"/>
    <w:rsid w:val="09AD70B1"/>
    <w:rsid w:val="09E20449"/>
    <w:rsid w:val="09FC388C"/>
    <w:rsid w:val="0A0F5E0F"/>
    <w:rsid w:val="0A2802DC"/>
    <w:rsid w:val="0A4B6F30"/>
    <w:rsid w:val="0A731B50"/>
    <w:rsid w:val="0A8E34E6"/>
    <w:rsid w:val="0AB60DEE"/>
    <w:rsid w:val="0AF72D7C"/>
    <w:rsid w:val="0B2E106F"/>
    <w:rsid w:val="0B3E5ECD"/>
    <w:rsid w:val="0B61638C"/>
    <w:rsid w:val="0B7D64C0"/>
    <w:rsid w:val="0B802D0D"/>
    <w:rsid w:val="0B9A6376"/>
    <w:rsid w:val="0BC176FB"/>
    <w:rsid w:val="0BF37D09"/>
    <w:rsid w:val="0BF41031"/>
    <w:rsid w:val="0C0C5682"/>
    <w:rsid w:val="0C1D57F9"/>
    <w:rsid w:val="0C612BB2"/>
    <w:rsid w:val="0C867BFF"/>
    <w:rsid w:val="0C953742"/>
    <w:rsid w:val="0CA242EA"/>
    <w:rsid w:val="0CB30E04"/>
    <w:rsid w:val="0CB456E8"/>
    <w:rsid w:val="0D1561A4"/>
    <w:rsid w:val="0D613BA3"/>
    <w:rsid w:val="0D744565"/>
    <w:rsid w:val="0D78361E"/>
    <w:rsid w:val="0D7F564D"/>
    <w:rsid w:val="0D835665"/>
    <w:rsid w:val="0DB243FB"/>
    <w:rsid w:val="0DE052FE"/>
    <w:rsid w:val="0DFF2B1F"/>
    <w:rsid w:val="0E3330D0"/>
    <w:rsid w:val="0E5576D4"/>
    <w:rsid w:val="0E9E4D5A"/>
    <w:rsid w:val="0ECE66B5"/>
    <w:rsid w:val="0F11785B"/>
    <w:rsid w:val="0F21557B"/>
    <w:rsid w:val="0F372967"/>
    <w:rsid w:val="0F3747E7"/>
    <w:rsid w:val="0F5107D2"/>
    <w:rsid w:val="0F5413E6"/>
    <w:rsid w:val="0F906704"/>
    <w:rsid w:val="0FB30FD0"/>
    <w:rsid w:val="0FDA7DDA"/>
    <w:rsid w:val="0FF721A8"/>
    <w:rsid w:val="0FFA1150"/>
    <w:rsid w:val="10490BAD"/>
    <w:rsid w:val="10583DAD"/>
    <w:rsid w:val="109658C1"/>
    <w:rsid w:val="11104883"/>
    <w:rsid w:val="112D72C6"/>
    <w:rsid w:val="113F3856"/>
    <w:rsid w:val="1161470B"/>
    <w:rsid w:val="11683FF9"/>
    <w:rsid w:val="11A50508"/>
    <w:rsid w:val="11CB5A9B"/>
    <w:rsid w:val="120639A8"/>
    <w:rsid w:val="12447798"/>
    <w:rsid w:val="125D4125"/>
    <w:rsid w:val="12AE4121"/>
    <w:rsid w:val="13437E80"/>
    <w:rsid w:val="134D7EB1"/>
    <w:rsid w:val="13583391"/>
    <w:rsid w:val="137F4008"/>
    <w:rsid w:val="1390333E"/>
    <w:rsid w:val="139C110B"/>
    <w:rsid w:val="13C30FC1"/>
    <w:rsid w:val="13C558BF"/>
    <w:rsid w:val="13E476E4"/>
    <w:rsid w:val="13F672DD"/>
    <w:rsid w:val="140A2CA4"/>
    <w:rsid w:val="140C5848"/>
    <w:rsid w:val="1415743A"/>
    <w:rsid w:val="141B497D"/>
    <w:rsid w:val="144E5CD4"/>
    <w:rsid w:val="14933D0B"/>
    <w:rsid w:val="14BF7340"/>
    <w:rsid w:val="14CA4A78"/>
    <w:rsid w:val="14D87DF4"/>
    <w:rsid w:val="14FF6FC2"/>
    <w:rsid w:val="15060BB2"/>
    <w:rsid w:val="15220493"/>
    <w:rsid w:val="15222491"/>
    <w:rsid w:val="15525599"/>
    <w:rsid w:val="157674F6"/>
    <w:rsid w:val="158F210D"/>
    <w:rsid w:val="15BB0608"/>
    <w:rsid w:val="15E12A88"/>
    <w:rsid w:val="15E95672"/>
    <w:rsid w:val="15F9350E"/>
    <w:rsid w:val="16054980"/>
    <w:rsid w:val="16271D63"/>
    <w:rsid w:val="165B2ECB"/>
    <w:rsid w:val="165E7351"/>
    <w:rsid w:val="167A7800"/>
    <w:rsid w:val="16BD2FB9"/>
    <w:rsid w:val="16C05D40"/>
    <w:rsid w:val="16E7731D"/>
    <w:rsid w:val="171C5BA0"/>
    <w:rsid w:val="17276F5B"/>
    <w:rsid w:val="1764674F"/>
    <w:rsid w:val="176C095E"/>
    <w:rsid w:val="178F5381"/>
    <w:rsid w:val="179855D1"/>
    <w:rsid w:val="179F1E7A"/>
    <w:rsid w:val="17A37760"/>
    <w:rsid w:val="17A613DC"/>
    <w:rsid w:val="17AA27DB"/>
    <w:rsid w:val="17AF2DFF"/>
    <w:rsid w:val="17C527E0"/>
    <w:rsid w:val="180B6554"/>
    <w:rsid w:val="1831099E"/>
    <w:rsid w:val="188A0D46"/>
    <w:rsid w:val="189553E8"/>
    <w:rsid w:val="18EF4764"/>
    <w:rsid w:val="18F279A0"/>
    <w:rsid w:val="191372F1"/>
    <w:rsid w:val="191F2375"/>
    <w:rsid w:val="19275B44"/>
    <w:rsid w:val="19607D81"/>
    <w:rsid w:val="197D1DB8"/>
    <w:rsid w:val="199503FD"/>
    <w:rsid w:val="19AF5CF6"/>
    <w:rsid w:val="19C63D4F"/>
    <w:rsid w:val="19C735BB"/>
    <w:rsid w:val="19DA3A4C"/>
    <w:rsid w:val="19F256A0"/>
    <w:rsid w:val="1A031334"/>
    <w:rsid w:val="1A0A0564"/>
    <w:rsid w:val="1A3922BD"/>
    <w:rsid w:val="1A3F5603"/>
    <w:rsid w:val="1A454D8D"/>
    <w:rsid w:val="1A46049D"/>
    <w:rsid w:val="1A531553"/>
    <w:rsid w:val="1A7728EC"/>
    <w:rsid w:val="1A8C67DA"/>
    <w:rsid w:val="1A941D78"/>
    <w:rsid w:val="1A9B27DB"/>
    <w:rsid w:val="1AA54D0B"/>
    <w:rsid w:val="1AB92AF5"/>
    <w:rsid w:val="1AE7139E"/>
    <w:rsid w:val="1B3C4343"/>
    <w:rsid w:val="1B6B549A"/>
    <w:rsid w:val="1B7F202C"/>
    <w:rsid w:val="1B870B5B"/>
    <w:rsid w:val="1BBC09F6"/>
    <w:rsid w:val="1BC7007B"/>
    <w:rsid w:val="1BD34730"/>
    <w:rsid w:val="1BDF455D"/>
    <w:rsid w:val="1C06107D"/>
    <w:rsid w:val="1C297CFC"/>
    <w:rsid w:val="1C3571F6"/>
    <w:rsid w:val="1C3672FA"/>
    <w:rsid w:val="1C3A751E"/>
    <w:rsid w:val="1C5D00DA"/>
    <w:rsid w:val="1C7D0C1A"/>
    <w:rsid w:val="1C7E2DD6"/>
    <w:rsid w:val="1CA53FA1"/>
    <w:rsid w:val="1CAD4CCB"/>
    <w:rsid w:val="1CCC40C9"/>
    <w:rsid w:val="1CDD5D84"/>
    <w:rsid w:val="1D0A2A37"/>
    <w:rsid w:val="1D186F9D"/>
    <w:rsid w:val="1D382017"/>
    <w:rsid w:val="1D504421"/>
    <w:rsid w:val="1D7E7249"/>
    <w:rsid w:val="1D7F6660"/>
    <w:rsid w:val="1DA251E1"/>
    <w:rsid w:val="1DA93704"/>
    <w:rsid w:val="1E224F27"/>
    <w:rsid w:val="1E343C5D"/>
    <w:rsid w:val="1E3D483C"/>
    <w:rsid w:val="1E5E301B"/>
    <w:rsid w:val="1ECF1323"/>
    <w:rsid w:val="1ECF4A99"/>
    <w:rsid w:val="1EDC33BC"/>
    <w:rsid w:val="1F211865"/>
    <w:rsid w:val="1F295D72"/>
    <w:rsid w:val="1F4325C8"/>
    <w:rsid w:val="1F520B16"/>
    <w:rsid w:val="1F595BBB"/>
    <w:rsid w:val="1F777E85"/>
    <w:rsid w:val="1F7C7957"/>
    <w:rsid w:val="1FD14052"/>
    <w:rsid w:val="1FD21E35"/>
    <w:rsid w:val="1FD96681"/>
    <w:rsid w:val="1FE10390"/>
    <w:rsid w:val="1FEE7A9C"/>
    <w:rsid w:val="200E58BD"/>
    <w:rsid w:val="204C064C"/>
    <w:rsid w:val="205164A7"/>
    <w:rsid w:val="207714C5"/>
    <w:rsid w:val="2090238B"/>
    <w:rsid w:val="20A434B3"/>
    <w:rsid w:val="20BA4AFB"/>
    <w:rsid w:val="20BA6502"/>
    <w:rsid w:val="20EE04E5"/>
    <w:rsid w:val="213E655D"/>
    <w:rsid w:val="21592706"/>
    <w:rsid w:val="216D7544"/>
    <w:rsid w:val="21712A16"/>
    <w:rsid w:val="218E2266"/>
    <w:rsid w:val="21AD768B"/>
    <w:rsid w:val="21B80AA5"/>
    <w:rsid w:val="221703FC"/>
    <w:rsid w:val="222A56CF"/>
    <w:rsid w:val="22305995"/>
    <w:rsid w:val="225216B5"/>
    <w:rsid w:val="228A40D4"/>
    <w:rsid w:val="228F22EB"/>
    <w:rsid w:val="22B37446"/>
    <w:rsid w:val="22CB0F22"/>
    <w:rsid w:val="22D279A8"/>
    <w:rsid w:val="22DE275C"/>
    <w:rsid w:val="22F05B87"/>
    <w:rsid w:val="23034661"/>
    <w:rsid w:val="234F141B"/>
    <w:rsid w:val="235408E6"/>
    <w:rsid w:val="23774488"/>
    <w:rsid w:val="23A308EE"/>
    <w:rsid w:val="23FD5BE3"/>
    <w:rsid w:val="24072EA9"/>
    <w:rsid w:val="242A7E26"/>
    <w:rsid w:val="24386853"/>
    <w:rsid w:val="243E50DA"/>
    <w:rsid w:val="24715F69"/>
    <w:rsid w:val="24760A5D"/>
    <w:rsid w:val="24B140D4"/>
    <w:rsid w:val="24C569C9"/>
    <w:rsid w:val="24F35147"/>
    <w:rsid w:val="24F907DC"/>
    <w:rsid w:val="25067BB3"/>
    <w:rsid w:val="250D35C2"/>
    <w:rsid w:val="252437DA"/>
    <w:rsid w:val="252A03F9"/>
    <w:rsid w:val="256E3452"/>
    <w:rsid w:val="25821C68"/>
    <w:rsid w:val="25DD4552"/>
    <w:rsid w:val="25EF43C8"/>
    <w:rsid w:val="25F023BC"/>
    <w:rsid w:val="262E08BF"/>
    <w:rsid w:val="26310EA6"/>
    <w:rsid w:val="263951B2"/>
    <w:rsid w:val="263E55AD"/>
    <w:rsid w:val="264B37D3"/>
    <w:rsid w:val="265B2B39"/>
    <w:rsid w:val="268428B0"/>
    <w:rsid w:val="269A23BD"/>
    <w:rsid w:val="26D609E2"/>
    <w:rsid w:val="270F3C75"/>
    <w:rsid w:val="27543CE2"/>
    <w:rsid w:val="2766357B"/>
    <w:rsid w:val="276656E7"/>
    <w:rsid w:val="276E1030"/>
    <w:rsid w:val="277D26D6"/>
    <w:rsid w:val="27814FF8"/>
    <w:rsid w:val="278E4856"/>
    <w:rsid w:val="27930B1B"/>
    <w:rsid w:val="27A4419F"/>
    <w:rsid w:val="27C957F9"/>
    <w:rsid w:val="27ED6C77"/>
    <w:rsid w:val="27EF2EB7"/>
    <w:rsid w:val="28140998"/>
    <w:rsid w:val="283146AB"/>
    <w:rsid w:val="2834674F"/>
    <w:rsid w:val="28460713"/>
    <w:rsid w:val="288C6204"/>
    <w:rsid w:val="28A96A0F"/>
    <w:rsid w:val="28C92B51"/>
    <w:rsid w:val="28DD5033"/>
    <w:rsid w:val="28EE7A07"/>
    <w:rsid w:val="29115557"/>
    <w:rsid w:val="291F3AAD"/>
    <w:rsid w:val="293C6591"/>
    <w:rsid w:val="29A14B0F"/>
    <w:rsid w:val="29CD4516"/>
    <w:rsid w:val="29F07B9D"/>
    <w:rsid w:val="2A1A0B1D"/>
    <w:rsid w:val="2A1E2DE0"/>
    <w:rsid w:val="2A2B222C"/>
    <w:rsid w:val="2A553548"/>
    <w:rsid w:val="2A7049D1"/>
    <w:rsid w:val="2A970008"/>
    <w:rsid w:val="2AA60E99"/>
    <w:rsid w:val="2AB04251"/>
    <w:rsid w:val="2ABE7215"/>
    <w:rsid w:val="2AE405AC"/>
    <w:rsid w:val="2AE558B3"/>
    <w:rsid w:val="2AE8229B"/>
    <w:rsid w:val="2AE92316"/>
    <w:rsid w:val="2AEC42E5"/>
    <w:rsid w:val="2B034D47"/>
    <w:rsid w:val="2B0852ED"/>
    <w:rsid w:val="2B2629D8"/>
    <w:rsid w:val="2B271F5E"/>
    <w:rsid w:val="2B641C02"/>
    <w:rsid w:val="2B6F681F"/>
    <w:rsid w:val="2B8302EB"/>
    <w:rsid w:val="2B893BA3"/>
    <w:rsid w:val="2BC82480"/>
    <w:rsid w:val="2BE95BE2"/>
    <w:rsid w:val="2BEB375B"/>
    <w:rsid w:val="2C07332F"/>
    <w:rsid w:val="2C1A5D63"/>
    <w:rsid w:val="2C2907BF"/>
    <w:rsid w:val="2C80477B"/>
    <w:rsid w:val="2CA73FE3"/>
    <w:rsid w:val="2CD46AFB"/>
    <w:rsid w:val="2CDC2898"/>
    <w:rsid w:val="2CE15438"/>
    <w:rsid w:val="2D291F09"/>
    <w:rsid w:val="2D812190"/>
    <w:rsid w:val="2DA94150"/>
    <w:rsid w:val="2DD854F5"/>
    <w:rsid w:val="2DEF4313"/>
    <w:rsid w:val="2E0A5B1F"/>
    <w:rsid w:val="2E1176AC"/>
    <w:rsid w:val="2E26750E"/>
    <w:rsid w:val="2E2701FF"/>
    <w:rsid w:val="2EAB1090"/>
    <w:rsid w:val="2ECB7AE0"/>
    <w:rsid w:val="2EF90C24"/>
    <w:rsid w:val="2F0E5D72"/>
    <w:rsid w:val="2F235269"/>
    <w:rsid w:val="2F322289"/>
    <w:rsid w:val="2F4B1C2D"/>
    <w:rsid w:val="2F691CE7"/>
    <w:rsid w:val="2F7D0DE5"/>
    <w:rsid w:val="2FA442D1"/>
    <w:rsid w:val="2FC15AF9"/>
    <w:rsid w:val="2FDC4E75"/>
    <w:rsid w:val="302F30EA"/>
    <w:rsid w:val="3056178E"/>
    <w:rsid w:val="30571C73"/>
    <w:rsid w:val="306A1C37"/>
    <w:rsid w:val="308B7DB2"/>
    <w:rsid w:val="30943D7F"/>
    <w:rsid w:val="309460D4"/>
    <w:rsid w:val="309C7501"/>
    <w:rsid w:val="30A375B7"/>
    <w:rsid w:val="30A70282"/>
    <w:rsid w:val="30A819D5"/>
    <w:rsid w:val="30FF1022"/>
    <w:rsid w:val="310D7287"/>
    <w:rsid w:val="312C2F69"/>
    <w:rsid w:val="313A0372"/>
    <w:rsid w:val="31414D46"/>
    <w:rsid w:val="3162168B"/>
    <w:rsid w:val="316C26E3"/>
    <w:rsid w:val="31B52E35"/>
    <w:rsid w:val="31B6217A"/>
    <w:rsid w:val="321A22CD"/>
    <w:rsid w:val="32305666"/>
    <w:rsid w:val="3254692A"/>
    <w:rsid w:val="328D4D87"/>
    <w:rsid w:val="328F399D"/>
    <w:rsid w:val="32987EA1"/>
    <w:rsid w:val="32A57DB8"/>
    <w:rsid w:val="32EC2013"/>
    <w:rsid w:val="33021368"/>
    <w:rsid w:val="33133DBA"/>
    <w:rsid w:val="33294831"/>
    <w:rsid w:val="332C5A43"/>
    <w:rsid w:val="334138EA"/>
    <w:rsid w:val="33491F36"/>
    <w:rsid w:val="33883009"/>
    <w:rsid w:val="339433F2"/>
    <w:rsid w:val="33CC2F57"/>
    <w:rsid w:val="34286A59"/>
    <w:rsid w:val="346C2BDC"/>
    <w:rsid w:val="347A4842"/>
    <w:rsid w:val="349E7311"/>
    <w:rsid w:val="34E63221"/>
    <w:rsid w:val="34EA3595"/>
    <w:rsid w:val="34F31159"/>
    <w:rsid w:val="34F61BA3"/>
    <w:rsid w:val="35684E72"/>
    <w:rsid w:val="357201A0"/>
    <w:rsid w:val="35721908"/>
    <w:rsid w:val="35D34EB8"/>
    <w:rsid w:val="35F26505"/>
    <w:rsid w:val="361A0DD1"/>
    <w:rsid w:val="363A75C1"/>
    <w:rsid w:val="36400044"/>
    <w:rsid w:val="368E7AA5"/>
    <w:rsid w:val="36950F43"/>
    <w:rsid w:val="36B17531"/>
    <w:rsid w:val="36B46A81"/>
    <w:rsid w:val="36C257C0"/>
    <w:rsid w:val="36C62770"/>
    <w:rsid w:val="36D44798"/>
    <w:rsid w:val="36ED1084"/>
    <w:rsid w:val="36F13745"/>
    <w:rsid w:val="36FF7CEB"/>
    <w:rsid w:val="371C34DE"/>
    <w:rsid w:val="37235D83"/>
    <w:rsid w:val="373C1BA5"/>
    <w:rsid w:val="378E57E2"/>
    <w:rsid w:val="379452EB"/>
    <w:rsid w:val="379C6437"/>
    <w:rsid w:val="37A42BA6"/>
    <w:rsid w:val="38012801"/>
    <w:rsid w:val="380A2593"/>
    <w:rsid w:val="380F6191"/>
    <w:rsid w:val="383266B3"/>
    <w:rsid w:val="386C1CFB"/>
    <w:rsid w:val="38804766"/>
    <w:rsid w:val="388B6EBF"/>
    <w:rsid w:val="388C38C8"/>
    <w:rsid w:val="388E6306"/>
    <w:rsid w:val="3891144C"/>
    <w:rsid w:val="38C927B2"/>
    <w:rsid w:val="38CA0360"/>
    <w:rsid w:val="38D02CFA"/>
    <w:rsid w:val="38DA32F7"/>
    <w:rsid w:val="38E40513"/>
    <w:rsid w:val="38F217F7"/>
    <w:rsid w:val="38FF405F"/>
    <w:rsid w:val="391A7C24"/>
    <w:rsid w:val="393853EE"/>
    <w:rsid w:val="393C349F"/>
    <w:rsid w:val="39474FFC"/>
    <w:rsid w:val="39A12E64"/>
    <w:rsid w:val="39C74D12"/>
    <w:rsid w:val="39E030FB"/>
    <w:rsid w:val="39E551C2"/>
    <w:rsid w:val="3A280D85"/>
    <w:rsid w:val="3A4255A0"/>
    <w:rsid w:val="3A651C7C"/>
    <w:rsid w:val="3A8C19A6"/>
    <w:rsid w:val="3A985F9F"/>
    <w:rsid w:val="3ABE7AAF"/>
    <w:rsid w:val="3AC906BD"/>
    <w:rsid w:val="3AC909EA"/>
    <w:rsid w:val="3ACA79CB"/>
    <w:rsid w:val="3ACD696C"/>
    <w:rsid w:val="3B0048B4"/>
    <w:rsid w:val="3B1D04C9"/>
    <w:rsid w:val="3B564493"/>
    <w:rsid w:val="3B68666D"/>
    <w:rsid w:val="3B7F12F6"/>
    <w:rsid w:val="3B924465"/>
    <w:rsid w:val="3BA94452"/>
    <w:rsid w:val="3C031B6A"/>
    <w:rsid w:val="3C5A7C30"/>
    <w:rsid w:val="3C857E1F"/>
    <w:rsid w:val="3C880F67"/>
    <w:rsid w:val="3C8B2EA4"/>
    <w:rsid w:val="3C98267C"/>
    <w:rsid w:val="3CA02F85"/>
    <w:rsid w:val="3CA30E32"/>
    <w:rsid w:val="3CAE115E"/>
    <w:rsid w:val="3CB6404C"/>
    <w:rsid w:val="3CC85F33"/>
    <w:rsid w:val="3D005676"/>
    <w:rsid w:val="3D1D4BB4"/>
    <w:rsid w:val="3D42795C"/>
    <w:rsid w:val="3D5A19A0"/>
    <w:rsid w:val="3D606F86"/>
    <w:rsid w:val="3D6F2596"/>
    <w:rsid w:val="3DAD0C31"/>
    <w:rsid w:val="3DC16634"/>
    <w:rsid w:val="3DCB2FFC"/>
    <w:rsid w:val="3DE87386"/>
    <w:rsid w:val="3E1A5B77"/>
    <w:rsid w:val="3E3D115C"/>
    <w:rsid w:val="3E816ACA"/>
    <w:rsid w:val="3E970AC1"/>
    <w:rsid w:val="3EBA3F51"/>
    <w:rsid w:val="3ED90D52"/>
    <w:rsid w:val="3EFB0DA2"/>
    <w:rsid w:val="3F015166"/>
    <w:rsid w:val="3F15663C"/>
    <w:rsid w:val="3F1F4A80"/>
    <w:rsid w:val="3F4371E9"/>
    <w:rsid w:val="3F5A272F"/>
    <w:rsid w:val="3F5B25E2"/>
    <w:rsid w:val="3F8208BE"/>
    <w:rsid w:val="3F8413AF"/>
    <w:rsid w:val="3FBE5D52"/>
    <w:rsid w:val="3FEB354A"/>
    <w:rsid w:val="400021A9"/>
    <w:rsid w:val="40071F8E"/>
    <w:rsid w:val="40273EB3"/>
    <w:rsid w:val="403917EB"/>
    <w:rsid w:val="404F7A6B"/>
    <w:rsid w:val="406623B1"/>
    <w:rsid w:val="40705D5D"/>
    <w:rsid w:val="40773C23"/>
    <w:rsid w:val="40A30E28"/>
    <w:rsid w:val="40AB266E"/>
    <w:rsid w:val="40C765F3"/>
    <w:rsid w:val="40E1213A"/>
    <w:rsid w:val="40E6301D"/>
    <w:rsid w:val="41071BAC"/>
    <w:rsid w:val="41256FB7"/>
    <w:rsid w:val="4154071D"/>
    <w:rsid w:val="419C5A30"/>
    <w:rsid w:val="41A3421C"/>
    <w:rsid w:val="41CD1A27"/>
    <w:rsid w:val="41DC1619"/>
    <w:rsid w:val="41F149C4"/>
    <w:rsid w:val="41FA7589"/>
    <w:rsid w:val="42173DAF"/>
    <w:rsid w:val="428F581C"/>
    <w:rsid w:val="429E77EF"/>
    <w:rsid w:val="42AD71C2"/>
    <w:rsid w:val="42AE14DC"/>
    <w:rsid w:val="42BA57D6"/>
    <w:rsid w:val="42C843A0"/>
    <w:rsid w:val="42F20CDD"/>
    <w:rsid w:val="43016403"/>
    <w:rsid w:val="432E7531"/>
    <w:rsid w:val="434941B7"/>
    <w:rsid w:val="43776349"/>
    <w:rsid w:val="43A46A86"/>
    <w:rsid w:val="43BA66A2"/>
    <w:rsid w:val="43E80BE6"/>
    <w:rsid w:val="43EE5166"/>
    <w:rsid w:val="43F57DBA"/>
    <w:rsid w:val="440D0605"/>
    <w:rsid w:val="44215206"/>
    <w:rsid w:val="442C702D"/>
    <w:rsid w:val="44326FB5"/>
    <w:rsid w:val="443E1A69"/>
    <w:rsid w:val="445D7409"/>
    <w:rsid w:val="44707017"/>
    <w:rsid w:val="4474621B"/>
    <w:rsid w:val="44813B55"/>
    <w:rsid w:val="44995C31"/>
    <w:rsid w:val="44AC3C12"/>
    <w:rsid w:val="44B2766E"/>
    <w:rsid w:val="44C82F04"/>
    <w:rsid w:val="44F36316"/>
    <w:rsid w:val="453876D7"/>
    <w:rsid w:val="453D01E5"/>
    <w:rsid w:val="454A0FCA"/>
    <w:rsid w:val="45834801"/>
    <w:rsid w:val="458B617D"/>
    <w:rsid w:val="458D0B6B"/>
    <w:rsid w:val="458F4D24"/>
    <w:rsid w:val="459C5BD8"/>
    <w:rsid w:val="45A36544"/>
    <w:rsid w:val="45A91BE1"/>
    <w:rsid w:val="45B01F58"/>
    <w:rsid w:val="45B20B88"/>
    <w:rsid w:val="45C12874"/>
    <w:rsid w:val="45D35459"/>
    <w:rsid w:val="45DB4490"/>
    <w:rsid w:val="45E86B72"/>
    <w:rsid w:val="45ED56E7"/>
    <w:rsid w:val="45F60A50"/>
    <w:rsid w:val="46036BC7"/>
    <w:rsid w:val="461C511A"/>
    <w:rsid w:val="462778C6"/>
    <w:rsid w:val="46462F04"/>
    <w:rsid w:val="465B1E86"/>
    <w:rsid w:val="46C6208F"/>
    <w:rsid w:val="46F714E0"/>
    <w:rsid w:val="471C6A14"/>
    <w:rsid w:val="473010D7"/>
    <w:rsid w:val="47474083"/>
    <w:rsid w:val="47971FDC"/>
    <w:rsid w:val="48010EAE"/>
    <w:rsid w:val="481B3C56"/>
    <w:rsid w:val="48252F6B"/>
    <w:rsid w:val="482C6CD1"/>
    <w:rsid w:val="4853345A"/>
    <w:rsid w:val="48845C84"/>
    <w:rsid w:val="489A66F4"/>
    <w:rsid w:val="489C44D3"/>
    <w:rsid w:val="48CE17E0"/>
    <w:rsid w:val="48F82FC3"/>
    <w:rsid w:val="490D059B"/>
    <w:rsid w:val="490D3059"/>
    <w:rsid w:val="49500FEB"/>
    <w:rsid w:val="496846D6"/>
    <w:rsid w:val="49751781"/>
    <w:rsid w:val="4982678C"/>
    <w:rsid w:val="49982D33"/>
    <w:rsid w:val="49C4368E"/>
    <w:rsid w:val="49C52480"/>
    <w:rsid w:val="49E077A2"/>
    <w:rsid w:val="49EC1E28"/>
    <w:rsid w:val="49F32E1B"/>
    <w:rsid w:val="49F36AE3"/>
    <w:rsid w:val="49FF1C1E"/>
    <w:rsid w:val="4A0B7057"/>
    <w:rsid w:val="4A280667"/>
    <w:rsid w:val="4A325FE0"/>
    <w:rsid w:val="4A495F41"/>
    <w:rsid w:val="4A511B6E"/>
    <w:rsid w:val="4A7C4548"/>
    <w:rsid w:val="4A863BCC"/>
    <w:rsid w:val="4A8E1463"/>
    <w:rsid w:val="4AC15779"/>
    <w:rsid w:val="4ACA0EC9"/>
    <w:rsid w:val="4AD202C9"/>
    <w:rsid w:val="4AEE473A"/>
    <w:rsid w:val="4B3D6072"/>
    <w:rsid w:val="4B5B5B93"/>
    <w:rsid w:val="4B850E6F"/>
    <w:rsid w:val="4B901389"/>
    <w:rsid w:val="4B987896"/>
    <w:rsid w:val="4BD05051"/>
    <w:rsid w:val="4BFE2AE1"/>
    <w:rsid w:val="4C0C6994"/>
    <w:rsid w:val="4C292792"/>
    <w:rsid w:val="4C2C30BE"/>
    <w:rsid w:val="4C3A2A9D"/>
    <w:rsid w:val="4C5D2EB7"/>
    <w:rsid w:val="4C624923"/>
    <w:rsid w:val="4C6B32F7"/>
    <w:rsid w:val="4C7C3579"/>
    <w:rsid w:val="4C8B5DCD"/>
    <w:rsid w:val="4C8D7B0E"/>
    <w:rsid w:val="4C984AEE"/>
    <w:rsid w:val="4CBF03D6"/>
    <w:rsid w:val="4CFF6DF1"/>
    <w:rsid w:val="4D014AEF"/>
    <w:rsid w:val="4D105B68"/>
    <w:rsid w:val="4D1E3273"/>
    <w:rsid w:val="4D4B4B68"/>
    <w:rsid w:val="4D513299"/>
    <w:rsid w:val="4D9D5F78"/>
    <w:rsid w:val="4DA22392"/>
    <w:rsid w:val="4DBC2EE2"/>
    <w:rsid w:val="4DBE5704"/>
    <w:rsid w:val="4DF96CBC"/>
    <w:rsid w:val="4E171ADD"/>
    <w:rsid w:val="4E3A3C9A"/>
    <w:rsid w:val="4E4C233E"/>
    <w:rsid w:val="4E6467C3"/>
    <w:rsid w:val="4E8A12D0"/>
    <w:rsid w:val="4E9A7FF9"/>
    <w:rsid w:val="4ECE0D1D"/>
    <w:rsid w:val="4ED26F97"/>
    <w:rsid w:val="4EDA7726"/>
    <w:rsid w:val="4EDF702E"/>
    <w:rsid w:val="4EF148C1"/>
    <w:rsid w:val="4F020CCB"/>
    <w:rsid w:val="4F047884"/>
    <w:rsid w:val="4F0B4D90"/>
    <w:rsid w:val="4F186AC1"/>
    <w:rsid w:val="4F1E2479"/>
    <w:rsid w:val="4F670186"/>
    <w:rsid w:val="4F6E77B9"/>
    <w:rsid w:val="4F813AF7"/>
    <w:rsid w:val="4F823122"/>
    <w:rsid w:val="4FA5289F"/>
    <w:rsid w:val="4FAC4EA9"/>
    <w:rsid w:val="4FBD6EC5"/>
    <w:rsid w:val="4FBF1AB2"/>
    <w:rsid w:val="4FE42B9D"/>
    <w:rsid w:val="50150A2D"/>
    <w:rsid w:val="5023770C"/>
    <w:rsid w:val="504E5AC6"/>
    <w:rsid w:val="505076EF"/>
    <w:rsid w:val="505F3BD5"/>
    <w:rsid w:val="507820B7"/>
    <w:rsid w:val="507C76EC"/>
    <w:rsid w:val="508A0B34"/>
    <w:rsid w:val="509A0302"/>
    <w:rsid w:val="50E042AF"/>
    <w:rsid w:val="50E77A58"/>
    <w:rsid w:val="513C5648"/>
    <w:rsid w:val="515143AB"/>
    <w:rsid w:val="515A17DC"/>
    <w:rsid w:val="51685DFA"/>
    <w:rsid w:val="51705953"/>
    <w:rsid w:val="51725D98"/>
    <w:rsid w:val="51736098"/>
    <w:rsid w:val="51B14BED"/>
    <w:rsid w:val="51C71898"/>
    <w:rsid w:val="51DC50F3"/>
    <w:rsid w:val="51EE252C"/>
    <w:rsid w:val="51FA3D86"/>
    <w:rsid w:val="52022698"/>
    <w:rsid w:val="52064582"/>
    <w:rsid w:val="521734BE"/>
    <w:rsid w:val="523A67B8"/>
    <w:rsid w:val="526965AA"/>
    <w:rsid w:val="52963B66"/>
    <w:rsid w:val="52A07902"/>
    <w:rsid w:val="52D71166"/>
    <w:rsid w:val="52E60C81"/>
    <w:rsid w:val="531E2281"/>
    <w:rsid w:val="53793823"/>
    <w:rsid w:val="53851D77"/>
    <w:rsid w:val="53BE4BF9"/>
    <w:rsid w:val="53F02BB4"/>
    <w:rsid w:val="53FF3ABE"/>
    <w:rsid w:val="54175BE1"/>
    <w:rsid w:val="5445166E"/>
    <w:rsid w:val="545708FC"/>
    <w:rsid w:val="54632332"/>
    <w:rsid w:val="547236DF"/>
    <w:rsid w:val="54944CE7"/>
    <w:rsid w:val="54E95C39"/>
    <w:rsid w:val="550A63B3"/>
    <w:rsid w:val="55436523"/>
    <w:rsid w:val="555125B1"/>
    <w:rsid w:val="55545557"/>
    <w:rsid w:val="556A455B"/>
    <w:rsid w:val="556D2D82"/>
    <w:rsid w:val="55A24716"/>
    <w:rsid w:val="55B027EB"/>
    <w:rsid w:val="55BC338C"/>
    <w:rsid w:val="55CA20E9"/>
    <w:rsid w:val="55D95949"/>
    <w:rsid w:val="55ED23C7"/>
    <w:rsid w:val="560C0036"/>
    <w:rsid w:val="561D279B"/>
    <w:rsid w:val="563C5184"/>
    <w:rsid w:val="565631F5"/>
    <w:rsid w:val="568E12A1"/>
    <w:rsid w:val="56915A65"/>
    <w:rsid w:val="56C44CD3"/>
    <w:rsid w:val="56D75436"/>
    <w:rsid w:val="56E83A21"/>
    <w:rsid w:val="57D82681"/>
    <w:rsid w:val="57DE7DC1"/>
    <w:rsid w:val="581B09AF"/>
    <w:rsid w:val="582E227B"/>
    <w:rsid w:val="583C79A9"/>
    <w:rsid w:val="5872028B"/>
    <w:rsid w:val="588F2A57"/>
    <w:rsid w:val="58983966"/>
    <w:rsid w:val="589E3B99"/>
    <w:rsid w:val="589F3533"/>
    <w:rsid w:val="58D46D1B"/>
    <w:rsid w:val="58FF6291"/>
    <w:rsid w:val="593261D2"/>
    <w:rsid w:val="59423730"/>
    <w:rsid w:val="595A6E9E"/>
    <w:rsid w:val="5A0E79AC"/>
    <w:rsid w:val="5A123B05"/>
    <w:rsid w:val="5A8F1C82"/>
    <w:rsid w:val="5AA04D8D"/>
    <w:rsid w:val="5AC4773A"/>
    <w:rsid w:val="5AD85D6C"/>
    <w:rsid w:val="5AFF5DE6"/>
    <w:rsid w:val="5B4026E8"/>
    <w:rsid w:val="5B482E24"/>
    <w:rsid w:val="5B9D08DB"/>
    <w:rsid w:val="5BAD5A86"/>
    <w:rsid w:val="5BCD41C3"/>
    <w:rsid w:val="5C0025C0"/>
    <w:rsid w:val="5C6D1CB7"/>
    <w:rsid w:val="5C731C61"/>
    <w:rsid w:val="5C9050DF"/>
    <w:rsid w:val="5C9A4DB7"/>
    <w:rsid w:val="5CA00536"/>
    <w:rsid w:val="5CC016AB"/>
    <w:rsid w:val="5D1A39EE"/>
    <w:rsid w:val="5D411FCB"/>
    <w:rsid w:val="5D5C7688"/>
    <w:rsid w:val="5D615C0F"/>
    <w:rsid w:val="5D844DB8"/>
    <w:rsid w:val="5D9F7EE8"/>
    <w:rsid w:val="5DEF6B62"/>
    <w:rsid w:val="5DF47982"/>
    <w:rsid w:val="5E002949"/>
    <w:rsid w:val="5E224225"/>
    <w:rsid w:val="5E2732CD"/>
    <w:rsid w:val="5E336F39"/>
    <w:rsid w:val="5E3723C6"/>
    <w:rsid w:val="5E723BE9"/>
    <w:rsid w:val="5E7E4092"/>
    <w:rsid w:val="5EFF2762"/>
    <w:rsid w:val="5F0D642C"/>
    <w:rsid w:val="5F4F4D0F"/>
    <w:rsid w:val="5F5F081B"/>
    <w:rsid w:val="5FB47FA0"/>
    <w:rsid w:val="5FB57D4D"/>
    <w:rsid w:val="5FBE4100"/>
    <w:rsid w:val="5FCD3868"/>
    <w:rsid w:val="5FEE3BAD"/>
    <w:rsid w:val="5FF20BF7"/>
    <w:rsid w:val="601E7125"/>
    <w:rsid w:val="60205F90"/>
    <w:rsid w:val="608E2F6C"/>
    <w:rsid w:val="60C75F81"/>
    <w:rsid w:val="60CC3DDB"/>
    <w:rsid w:val="60DC4E84"/>
    <w:rsid w:val="60EC3C37"/>
    <w:rsid w:val="613D07C4"/>
    <w:rsid w:val="615C14A6"/>
    <w:rsid w:val="617A5318"/>
    <w:rsid w:val="618B3212"/>
    <w:rsid w:val="61A058F7"/>
    <w:rsid w:val="61A93693"/>
    <w:rsid w:val="61F4098A"/>
    <w:rsid w:val="62082A4E"/>
    <w:rsid w:val="623C28E2"/>
    <w:rsid w:val="62597B3E"/>
    <w:rsid w:val="62CA193B"/>
    <w:rsid w:val="62D30A87"/>
    <w:rsid w:val="62D53BF4"/>
    <w:rsid w:val="630A4626"/>
    <w:rsid w:val="631E0963"/>
    <w:rsid w:val="63483DC6"/>
    <w:rsid w:val="635F2ADA"/>
    <w:rsid w:val="63610183"/>
    <w:rsid w:val="6367085D"/>
    <w:rsid w:val="636A45E1"/>
    <w:rsid w:val="637947A5"/>
    <w:rsid w:val="63870233"/>
    <w:rsid w:val="63BD4B8F"/>
    <w:rsid w:val="63D0005D"/>
    <w:rsid w:val="63DE5D65"/>
    <w:rsid w:val="63E23D45"/>
    <w:rsid w:val="64467B93"/>
    <w:rsid w:val="64511EDE"/>
    <w:rsid w:val="64603F84"/>
    <w:rsid w:val="64630D1E"/>
    <w:rsid w:val="6486251A"/>
    <w:rsid w:val="64AB2A66"/>
    <w:rsid w:val="64B7605C"/>
    <w:rsid w:val="64BD6580"/>
    <w:rsid w:val="64E205AE"/>
    <w:rsid w:val="64F17473"/>
    <w:rsid w:val="65174EA0"/>
    <w:rsid w:val="652564C3"/>
    <w:rsid w:val="652B096E"/>
    <w:rsid w:val="65530E49"/>
    <w:rsid w:val="65551112"/>
    <w:rsid w:val="658B678B"/>
    <w:rsid w:val="65A06D0F"/>
    <w:rsid w:val="65A71F82"/>
    <w:rsid w:val="65E73B66"/>
    <w:rsid w:val="66131984"/>
    <w:rsid w:val="66187135"/>
    <w:rsid w:val="662831A9"/>
    <w:rsid w:val="664A22D3"/>
    <w:rsid w:val="66B02E9B"/>
    <w:rsid w:val="66C2270A"/>
    <w:rsid w:val="66E16576"/>
    <w:rsid w:val="66E33C2D"/>
    <w:rsid w:val="66FE6FC6"/>
    <w:rsid w:val="671B4A83"/>
    <w:rsid w:val="67365593"/>
    <w:rsid w:val="67427945"/>
    <w:rsid w:val="678164D2"/>
    <w:rsid w:val="67BE34F4"/>
    <w:rsid w:val="67D079BF"/>
    <w:rsid w:val="67E04310"/>
    <w:rsid w:val="68121D83"/>
    <w:rsid w:val="68233C28"/>
    <w:rsid w:val="68667455"/>
    <w:rsid w:val="68E34076"/>
    <w:rsid w:val="68F145B5"/>
    <w:rsid w:val="68FA5214"/>
    <w:rsid w:val="6906197A"/>
    <w:rsid w:val="690C637F"/>
    <w:rsid w:val="692A17F3"/>
    <w:rsid w:val="692A799A"/>
    <w:rsid w:val="69360DF4"/>
    <w:rsid w:val="69477B83"/>
    <w:rsid w:val="699D4818"/>
    <w:rsid w:val="69C27972"/>
    <w:rsid w:val="69CA4664"/>
    <w:rsid w:val="6A0B7E27"/>
    <w:rsid w:val="6A2E4954"/>
    <w:rsid w:val="6A6A771D"/>
    <w:rsid w:val="6A6E396D"/>
    <w:rsid w:val="6A900440"/>
    <w:rsid w:val="6AC85053"/>
    <w:rsid w:val="6AC9421D"/>
    <w:rsid w:val="6AD94F47"/>
    <w:rsid w:val="6AE641A3"/>
    <w:rsid w:val="6AEF29C9"/>
    <w:rsid w:val="6B4C3B26"/>
    <w:rsid w:val="6BB3693A"/>
    <w:rsid w:val="6BB3754C"/>
    <w:rsid w:val="6C4C2667"/>
    <w:rsid w:val="6CA51813"/>
    <w:rsid w:val="6CB17A00"/>
    <w:rsid w:val="6CD40BE1"/>
    <w:rsid w:val="6CDA49A3"/>
    <w:rsid w:val="6CED7FA5"/>
    <w:rsid w:val="6CF36133"/>
    <w:rsid w:val="6D003617"/>
    <w:rsid w:val="6D2468A7"/>
    <w:rsid w:val="6D27071C"/>
    <w:rsid w:val="6D2957D5"/>
    <w:rsid w:val="6D2C0194"/>
    <w:rsid w:val="6D38774B"/>
    <w:rsid w:val="6D3E46D7"/>
    <w:rsid w:val="6D4C23D2"/>
    <w:rsid w:val="6D704B0C"/>
    <w:rsid w:val="6D776EFB"/>
    <w:rsid w:val="6DA25D26"/>
    <w:rsid w:val="6DAC34A1"/>
    <w:rsid w:val="6DD1076A"/>
    <w:rsid w:val="6DDE3DAF"/>
    <w:rsid w:val="6E0C6C88"/>
    <w:rsid w:val="6E1735DC"/>
    <w:rsid w:val="6E1974BD"/>
    <w:rsid w:val="6E1F4ECD"/>
    <w:rsid w:val="6E2211D6"/>
    <w:rsid w:val="6E31278B"/>
    <w:rsid w:val="6E3B2AD1"/>
    <w:rsid w:val="6E4A54B0"/>
    <w:rsid w:val="6E9644A1"/>
    <w:rsid w:val="6EBD64D7"/>
    <w:rsid w:val="6EC95E71"/>
    <w:rsid w:val="6ECF4331"/>
    <w:rsid w:val="6ED8575C"/>
    <w:rsid w:val="6EE13724"/>
    <w:rsid w:val="6EEF7332"/>
    <w:rsid w:val="6EF74B3E"/>
    <w:rsid w:val="6F02009A"/>
    <w:rsid w:val="6F2D66D6"/>
    <w:rsid w:val="6F4337FE"/>
    <w:rsid w:val="6F4C772F"/>
    <w:rsid w:val="6F757C9C"/>
    <w:rsid w:val="6F7A0A72"/>
    <w:rsid w:val="6F981439"/>
    <w:rsid w:val="6FBA4BA1"/>
    <w:rsid w:val="703033E6"/>
    <w:rsid w:val="70531F9D"/>
    <w:rsid w:val="70A95C3D"/>
    <w:rsid w:val="70E040A3"/>
    <w:rsid w:val="70E13200"/>
    <w:rsid w:val="70FF3D31"/>
    <w:rsid w:val="7139612D"/>
    <w:rsid w:val="714420CD"/>
    <w:rsid w:val="71546923"/>
    <w:rsid w:val="715F4C2D"/>
    <w:rsid w:val="71742846"/>
    <w:rsid w:val="71841719"/>
    <w:rsid w:val="72024D75"/>
    <w:rsid w:val="724530CF"/>
    <w:rsid w:val="72CB7F46"/>
    <w:rsid w:val="72D84E60"/>
    <w:rsid w:val="72F3629C"/>
    <w:rsid w:val="73121CB7"/>
    <w:rsid w:val="73134E8E"/>
    <w:rsid w:val="732716BC"/>
    <w:rsid w:val="73DE4D67"/>
    <w:rsid w:val="74016246"/>
    <w:rsid w:val="745A4881"/>
    <w:rsid w:val="745C121D"/>
    <w:rsid w:val="746D0FDE"/>
    <w:rsid w:val="74B3391B"/>
    <w:rsid w:val="74E0573B"/>
    <w:rsid w:val="74E40DB3"/>
    <w:rsid w:val="751B5F96"/>
    <w:rsid w:val="75343934"/>
    <w:rsid w:val="755C4C37"/>
    <w:rsid w:val="75622CB1"/>
    <w:rsid w:val="75B84A01"/>
    <w:rsid w:val="760C1517"/>
    <w:rsid w:val="7611078B"/>
    <w:rsid w:val="761A2E8D"/>
    <w:rsid w:val="76475DB4"/>
    <w:rsid w:val="765062E5"/>
    <w:rsid w:val="7689098F"/>
    <w:rsid w:val="768D7CD7"/>
    <w:rsid w:val="76A17FB6"/>
    <w:rsid w:val="76C2056E"/>
    <w:rsid w:val="771B710A"/>
    <w:rsid w:val="77245AA8"/>
    <w:rsid w:val="774D1291"/>
    <w:rsid w:val="77504D2A"/>
    <w:rsid w:val="775E0582"/>
    <w:rsid w:val="775F4656"/>
    <w:rsid w:val="776C25E5"/>
    <w:rsid w:val="776C3E9D"/>
    <w:rsid w:val="77B7237F"/>
    <w:rsid w:val="77FD2C5E"/>
    <w:rsid w:val="78271104"/>
    <w:rsid w:val="784B7472"/>
    <w:rsid w:val="78661ED8"/>
    <w:rsid w:val="78861A8D"/>
    <w:rsid w:val="78973BA6"/>
    <w:rsid w:val="78D2201D"/>
    <w:rsid w:val="78ED42D2"/>
    <w:rsid w:val="78F76941"/>
    <w:rsid w:val="78F82ED4"/>
    <w:rsid w:val="790114CB"/>
    <w:rsid w:val="7925703F"/>
    <w:rsid w:val="79430071"/>
    <w:rsid w:val="7962750F"/>
    <w:rsid w:val="796B0021"/>
    <w:rsid w:val="796F42FD"/>
    <w:rsid w:val="79701A60"/>
    <w:rsid w:val="797218E2"/>
    <w:rsid w:val="799D6ABE"/>
    <w:rsid w:val="79B43C51"/>
    <w:rsid w:val="79B6170C"/>
    <w:rsid w:val="79D03D26"/>
    <w:rsid w:val="7A410FED"/>
    <w:rsid w:val="7A4205D3"/>
    <w:rsid w:val="7A4F3DD9"/>
    <w:rsid w:val="7A5C3640"/>
    <w:rsid w:val="7A73566B"/>
    <w:rsid w:val="7A94667E"/>
    <w:rsid w:val="7A9C218A"/>
    <w:rsid w:val="7A9C3F7D"/>
    <w:rsid w:val="7AAC0193"/>
    <w:rsid w:val="7AB05BBC"/>
    <w:rsid w:val="7AB44E97"/>
    <w:rsid w:val="7AB740EE"/>
    <w:rsid w:val="7AB94AC3"/>
    <w:rsid w:val="7AE36910"/>
    <w:rsid w:val="7B0E6D55"/>
    <w:rsid w:val="7B7C47F3"/>
    <w:rsid w:val="7B826E52"/>
    <w:rsid w:val="7B940404"/>
    <w:rsid w:val="7BB6238F"/>
    <w:rsid w:val="7BDD38EC"/>
    <w:rsid w:val="7BF8597E"/>
    <w:rsid w:val="7C12395E"/>
    <w:rsid w:val="7C14711B"/>
    <w:rsid w:val="7C312516"/>
    <w:rsid w:val="7C45431D"/>
    <w:rsid w:val="7C4A144B"/>
    <w:rsid w:val="7C51263D"/>
    <w:rsid w:val="7C5E2D26"/>
    <w:rsid w:val="7C6B6B6B"/>
    <w:rsid w:val="7C963B24"/>
    <w:rsid w:val="7C9C7BC2"/>
    <w:rsid w:val="7C9D0D18"/>
    <w:rsid w:val="7CAB6002"/>
    <w:rsid w:val="7CAD1FA2"/>
    <w:rsid w:val="7CB46225"/>
    <w:rsid w:val="7CB64CC2"/>
    <w:rsid w:val="7CC906C4"/>
    <w:rsid w:val="7CD44FEF"/>
    <w:rsid w:val="7CE95E8C"/>
    <w:rsid w:val="7CEF280C"/>
    <w:rsid w:val="7D4C1C46"/>
    <w:rsid w:val="7DB168E1"/>
    <w:rsid w:val="7DB44FBE"/>
    <w:rsid w:val="7DC26A8B"/>
    <w:rsid w:val="7DC64605"/>
    <w:rsid w:val="7DCF7966"/>
    <w:rsid w:val="7DDD0501"/>
    <w:rsid w:val="7DED4C5E"/>
    <w:rsid w:val="7E2653BA"/>
    <w:rsid w:val="7E2B63E7"/>
    <w:rsid w:val="7E575DF3"/>
    <w:rsid w:val="7E8A1E6A"/>
    <w:rsid w:val="7E8B79FF"/>
    <w:rsid w:val="7E905860"/>
    <w:rsid w:val="7E9334E2"/>
    <w:rsid w:val="7E935AFB"/>
    <w:rsid w:val="7E9C3271"/>
    <w:rsid w:val="7EA32E1E"/>
    <w:rsid w:val="7EBE75B9"/>
    <w:rsid w:val="7EC65AAB"/>
    <w:rsid w:val="7EE64951"/>
    <w:rsid w:val="7F0D6B5A"/>
    <w:rsid w:val="7F1D55DA"/>
    <w:rsid w:val="7F424BA5"/>
    <w:rsid w:val="7F4610EC"/>
    <w:rsid w:val="7F50759A"/>
    <w:rsid w:val="7F62141C"/>
    <w:rsid w:val="7F73336C"/>
    <w:rsid w:val="7F8029F6"/>
    <w:rsid w:val="7FA22782"/>
    <w:rsid w:val="7FA522BC"/>
    <w:rsid w:val="7FBA19A1"/>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4"/>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wmf"/><Relationship Id="rId14" Type="http://schemas.openxmlformats.org/officeDocument/2006/relationships/oleObject" Target="embeddings/oleObject2.bin"/><Relationship Id="rId13" Type="http://schemas.openxmlformats.org/officeDocument/2006/relationships/image" Target="media/image8.wmf"/><Relationship Id="rId12" Type="http://schemas.openxmlformats.org/officeDocument/2006/relationships/oleObject" Target="embeddings/oleObject1.bin"/><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660</Words>
  <Characters>3762</Characters>
  <Lines>1</Lines>
  <Paragraphs>1</Paragraphs>
  <TotalTime>82</TotalTime>
  <ScaleCrop>false</ScaleCrop>
  <LinksUpToDate>false</LinksUpToDate>
  <CharactersWithSpaces>4414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2022-11-07T12:15:27Z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